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AFA9A9" w14:textId="77777777" w:rsidR="00D04899" w:rsidRDefault="005F05E0" w:rsidP="00164DBB">
      <w:pPr>
        <w:pStyle w:val="Heading1"/>
        <w:spacing w:before="0" w:after="0"/>
        <w:jc w:val="center"/>
      </w:pPr>
      <w:r>
        <w:t xml:space="preserve">TAA </w:t>
      </w:r>
      <w:r w:rsidR="00E333CC" w:rsidRPr="00AA2BBA">
        <w:t xml:space="preserve">Training </w:t>
      </w:r>
      <w:r w:rsidR="00DF24E5">
        <w:t>Related Supply Expenses</w:t>
      </w:r>
    </w:p>
    <w:p w14:paraId="780C8498" w14:textId="77777777" w:rsidR="00E333CC" w:rsidRPr="00D04899" w:rsidRDefault="00D04899" w:rsidP="00164DBB">
      <w:pPr>
        <w:pStyle w:val="Heading1"/>
        <w:spacing w:before="0" w:after="0"/>
        <w:jc w:val="center"/>
        <w:rPr>
          <w:sz w:val="24"/>
          <w:szCs w:val="24"/>
        </w:rPr>
      </w:pPr>
      <w:r>
        <w:t xml:space="preserve"> </w:t>
      </w:r>
      <w:r w:rsidRPr="00D04899">
        <w:rPr>
          <w:sz w:val="24"/>
          <w:szCs w:val="24"/>
        </w:rPr>
        <w:t>(Effective Jan. 1, 2023)</w:t>
      </w:r>
    </w:p>
    <w:p w14:paraId="1347B102" w14:textId="77777777" w:rsidR="00E333CC" w:rsidRPr="00A549B7" w:rsidRDefault="00E333CC" w:rsidP="00E333CC">
      <w:pPr>
        <w:jc w:val="center"/>
        <w:rPr>
          <w:rFonts w:ascii="Arial" w:hAnsi="Arial"/>
          <w:sz w:val="2"/>
          <w:szCs w:val="16"/>
        </w:rPr>
      </w:pPr>
    </w:p>
    <w:tbl>
      <w:tblPr>
        <w:tblpPr w:leftFromText="180" w:rightFromText="180" w:vertAnchor="text" w:horzAnchor="margin" w:tblpXSpec="center" w:tblpY="35"/>
        <w:tblW w:w="108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3"/>
        <w:gridCol w:w="875"/>
        <w:gridCol w:w="9067"/>
      </w:tblGrid>
      <w:tr w:rsidR="00A57872" w:rsidRPr="00AA2BBA" w14:paraId="0094B887" w14:textId="77777777" w:rsidTr="005F2790">
        <w:trPr>
          <w:cantSplit/>
          <w:trHeight w:hRule="exact" w:val="371"/>
          <w:jc w:val="center"/>
        </w:trPr>
        <w:tc>
          <w:tcPr>
            <w:tcW w:w="1818" w:type="dxa"/>
            <w:gridSpan w:val="2"/>
            <w:tcBorders>
              <w:bottom w:val="single" w:sz="4" w:space="0" w:color="auto"/>
            </w:tcBorders>
            <w:vAlign w:val="center"/>
          </w:tcPr>
          <w:p w14:paraId="405E61E2" w14:textId="77777777" w:rsidR="00A57872" w:rsidRPr="00302915" w:rsidRDefault="00A57872">
            <w:pPr>
              <w:jc w:val="center"/>
              <w:rPr>
                <w:rFonts w:ascii="Arial" w:hAnsi="Arial"/>
                <w:b/>
                <w:sz w:val="20"/>
              </w:rPr>
            </w:pPr>
            <w:bookmarkStart w:id="0" w:name="_Hlk129244260"/>
          </w:p>
        </w:tc>
        <w:tc>
          <w:tcPr>
            <w:tcW w:w="9067" w:type="dxa"/>
            <w:shd w:val="clear" w:color="auto" w:fill="auto"/>
            <w:vAlign w:val="center"/>
          </w:tcPr>
          <w:p w14:paraId="7FDDF1DD" w14:textId="77777777" w:rsidR="00A57872" w:rsidRPr="00302915" w:rsidRDefault="00A57872">
            <w:pPr>
              <w:spacing w:before="20"/>
              <w:rPr>
                <w:rFonts w:ascii="Arial" w:hAnsi="Arial"/>
                <w:b/>
                <w:sz w:val="20"/>
              </w:rPr>
            </w:pPr>
          </w:p>
        </w:tc>
      </w:tr>
      <w:tr w:rsidR="006F08C6" w:rsidRPr="00AA2BBA" w14:paraId="723FAF0A" w14:textId="77777777" w:rsidTr="005F2790">
        <w:trPr>
          <w:trHeight w:val="4766"/>
          <w:jc w:val="center"/>
        </w:trPr>
        <w:tc>
          <w:tcPr>
            <w:tcW w:w="1818" w:type="dxa"/>
            <w:gridSpan w:val="2"/>
            <w:shd w:val="clear" w:color="auto" w:fill="D9D9D9"/>
            <w:textDirection w:val="btLr"/>
          </w:tcPr>
          <w:p w14:paraId="6477D5A7" w14:textId="77777777" w:rsidR="006F08C6" w:rsidRPr="00EF2DB6" w:rsidRDefault="006F08C6">
            <w:pPr>
              <w:ind w:left="113" w:right="113"/>
              <w:jc w:val="center"/>
              <w:rPr>
                <w:rFonts w:ascii="Arial" w:hAnsi="Arial"/>
                <w:sz w:val="32"/>
                <w:szCs w:val="32"/>
              </w:rPr>
            </w:pPr>
            <w:r w:rsidRPr="00EF2DB6">
              <w:rPr>
                <w:rFonts w:ascii="Arial" w:hAnsi="Arial"/>
                <w:sz w:val="32"/>
                <w:szCs w:val="32"/>
              </w:rPr>
              <w:t>Eligibility</w:t>
            </w:r>
            <w:r>
              <w:rPr>
                <w:rFonts w:ascii="Arial" w:hAnsi="Arial"/>
                <w:sz w:val="32"/>
                <w:szCs w:val="32"/>
              </w:rPr>
              <w:t xml:space="preserve"> Requirements</w:t>
            </w:r>
          </w:p>
          <w:p w14:paraId="644C53DD" w14:textId="77777777" w:rsidR="006F08C6" w:rsidRPr="00AA2BBA" w:rsidRDefault="006F08C6">
            <w:pPr>
              <w:jc w:val="center"/>
              <w:rPr>
                <w:rFonts w:ascii="Arial" w:hAnsi="Arial"/>
                <w:sz w:val="52"/>
                <w:szCs w:val="52"/>
              </w:rPr>
            </w:pPr>
          </w:p>
          <w:p w14:paraId="5F3A35AD" w14:textId="77777777" w:rsidR="006F08C6" w:rsidRPr="00AA2BBA" w:rsidRDefault="006F08C6">
            <w:pPr>
              <w:jc w:val="center"/>
              <w:rPr>
                <w:rFonts w:ascii="Arial" w:hAnsi="Arial"/>
                <w:sz w:val="52"/>
                <w:szCs w:val="52"/>
              </w:rPr>
            </w:pPr>
          </w:p>
        </w:tc>
        <w:tc>
          <w:tcPr>
            <w:tcW w:w="9067" w:type="dxa"/>
            <w:shd w:val="clear" w:color="auto" w:fill="auto"/>
          </w:tcPr>
          <w:p w14:paraId="572A195E" w14:textId="77777777" w:rsidR="006F08C6" w:rsidRDefault="006F08C6" w:rsidP="008D66E9">
            <w:pPr>
              <w:pStyle w:val="CommentText"/>
              <w:rPr>
                <w:rFonts w:cs="Calibri"/>
                <w:sz w:val="24"/>
                <w:szCs w:val="24"/>
              </w:rPr>
            </w:pPr>
          </w:p>
          <w:p w14:paraId="051C1E18" w14:textId="77777777" w:rsidR="006F08C6" w:rsidRDefault="006F08C6" w:rsidP="008D66E9">
            <w:pPr>
              <w:pStyle w:val="CommentText"/>
              <w:rPr>
                <w:rFonts w:cs="Calibri"/>
                <w:sz w:val="24"/>
                <w:szCs w:val="24"/>
              </w:rPr>
            </w:pPr>
            <w:r>
              <w:rPr>
                <w:rFonts w:cs="Calibri"/>
                <w:sz w:val="24"/>
                <w:szCs w:val="24"/>
              </w:rPr>
              <w:t xml:space="preserve">To be eligible for training related supplies and/or expenses, you must do </w:t>
            </w:r>
            <w:r>
              <w:rPr>
                <w:rFonts w:cs="Calibri"/>
                <w:b/>
                <w:bCs/>
                <w:sz w:val="24"/>
                <w:szCs w:val="24"/>
                <w:u w:val="single"/>
              </w:rPr>
              <w:t>ALL</w:t>
            </w:r>
            <w:r>
              <w:rPr>
                <w:rFonts w:cs="Calibri"/>
                <w:sz w:val="24"/>
                <w:szCs w:val="24"/>
              </w:rPr>
              <w:t xml:space="preserve"> the following things:</w:t>
            </w:r>
          </w:p>
          <w:p w14:paraId="22BB2443" w14:textId="77777777" w:rsidR="006F08C6" w:rsidRDefault="006F08C6" w:rsidP="008D66E9">
            <w:pPr>
              <w:pStyle w:val="CommentText"/>
              <w:numPr>
                <w:ilvl w:val="0"/>
                <w:numId w:val="29"/>
              </w:numPr>
              <w:rPr>
                <w:rFonts w:cs="Calibri"/>
                <w:sz w:val="24"/>
                <w:szCs w:val="24"/>
              </w:rPr>
            </w:pPr>
            <w:r>
              <w:rPr>
                <w:rFonts w:cs="Calibri"/>
                <w:sz w:val="24"/>
                <w:szCs w:val="24"/>
              </w:rPr>
              <w:t>Have a valid TAA training contract which has been signed by the you, your TAA Career Planner, and the school</w:t>
            </w:r>
          </w:p>
          <w:p w14:paraId="006AD1E5" w14:textId="77777777" w:rsidR="006F08C6" w:rsidRDefault="006F08C6" w:rsidP="008D66E9">
            <w:pPr>
              <w:pStyle w:val="CommentText"/>
              <w:numPr>
                <w:ilvl w:val="0"/>
                <w:numId w:val="29"/>
              </w:numPr>
              <w:rPr>
                <w:rFonts w:cs="Calibri"/>
                <w:sz w:val="24"/>
                <w:szCs w:val="24"/>
              </w:rPr>
            </w:pPr>
            <w:r>
              <w:rPr>
                <w:rFonts w:cs="Calibri"/>
                <w:sz w:val="24"/>
                <w:szCs w:val="24"/>
              </w:rPr>
              <w:t>Maintain satisfactory academic standing</w:t>
            </w:r>
          </w:p>
          <w:p w14:paraId="1D02F079" w14:textId="77777777" w:rsidR="006F08C6" w:rsidRDefault="006F08C6" w:rsidP="008D66E9">
            <w:pPr>
              <w:pStyle w:val="CommentText"/>
              <w:numPr>
                <w:ilvl w:val="0"/>
                <w:numId w:val="29"/>
              </w:numPr>
              <w:rPr>
                <w:rFonts w:cs="Calibri"/>
                <w:sz w:val="24"/>
                <w:szCs w:val="24"/>
              </w:rPr>
            </w:pPr>
            <w:r>
              <w:rPr>
                <w:rFonts w:cs="Calibri"/>
                <w:sz w:val="24"/>
                <w:szCs w:val="24"/>
              </w:rPr>
              <w:t>Submit timely and accurate attendance, class schedules &amp; grade reports, and 60-day progress reports</w:t>
            </w:r>
          </w:p>
          <w:p w14:paraId="14D000DE" w14:textId="77777777" w:rsidR="006F08C6" w:rsidRDefault="006F08C6" w:rsidP="008D66E9">
            <w:pPr>
              <w:pStyle w:val="CommentText"/>
              <w:numPr>
                <w:ilvl w:val="0"/>
                <w:numId w:val="29"/>
              </w:numPr>
              <w:rPr>
                <w:rFonts w:cs="Calibri"/>
                <w:sz w:val="24"/>
                <w:szCs w:val="24"/>
              </w:rPr>
            </w:pPr>
            <w:r>
              <w:rPr>
                <w:rFonts w:cs="Calibri"/>
                <w:sz w:val="24"/>
                <w:szCs w:val="24"/>
              </w:rPr>
              <w:t>Remain on schedule to complete training by the training end date listed on your TAA training contract</w:t>
            </w:r>
          </w:p>
          <w:p w14:paraId="0ABDF864" w14:textId="77777777" w:rsidR="006F08C6" w:rsidRDefault="006F08C6" w:rsidP="008D66E9">
            <w:pPr>
              <w:pStyle w:val="CommentText"/>
              <w:rPr>
                <w:rFonts w:cs="Calibri"/>
                <w:sz w:val="24"/>
                <w:szCs w:val="24"/>
              </w:rPr>
            </w:pPr>
          </w:p>
          <w:p w14:paraId="34EEC4D8" w14:textId="77777777" w:rsidR="006F08C6" w:rsidRDefault="006F08C6" w:rsidP="008D66E9">
            <w:pPr>
              <w:pStyle w:val="CommentText"/>
              <w:rPr>
                <w:rFonts w:cs="Calibri"/>
                <w:sz w:val="24"/>
                <w:szCs w:val="24"/>
              </w:rPr>
            </w:pPr>
            <w:r>
              <w:rPr>
                <w:rFonts w:cs="Calibri"/>
                <w:sz w:val="24"/>
                <w:szCs w:val="24"/>
              </w:rPr>
              <w:t xml:space="preserve">Proof of payment (receipt) is required for direct reimbursements of allowed expense. Proof of payment needs to display purchase date, item description, total cost, and evidence payment was received by supply vendor.  Some items require TAA staff approval PRIOR to purchase </w:t>
            </w:r>
            <w:proofErr w:type="gramStart"/>
            <w:r>
              <w:rPr>
                <w:rFonts w:cs="Calibri"/>
                <w:sz w:val="24"/>
                <w:szCs w:val="24"/>
              </w:rPr>
              <w:t>in order to</w:t>
            </w:r>
            <w:proofErr w:type="gramEnd"/>
            <w:r>
              <w:rPr>
                <w:rFonts w:cs="Calibri"/>
                <w:sz w:val="24"/>
                <w:szCs w:val="24"/>
              </w:rPr>
              <w:t xml:space="preserve"> be reimbursed – see below.</w:t>
            </w:r>
          </w:p>
          <w:p w14:paraId="4702709E" w14:textId="77777777" w:rsidR="006F08C6" w:rsidRDefault="006F08C6" w:rsidP="00773165">
            <w:pPr>
              <w:pStyle w:val="CommentText"/>
              <w:numPr>
                <w:ilvl w:val="0"/>
                <w:numId w:val="32"/>
              </w:numPr>
              <w:rPr>
                <w:rFonts w:cs="Calibri"/>
                <w:sz w:val="24"/>
                <w:szCs w:val="24"/>
              </w:rPr>
            </w:pPr>
            <w:r>
              <w:rPr>
                <w:rFonts w:cs="Calibri"/>
                <w:sz w:val="24"/>
                <w:szCs w:val="24"/>
              </w:rPr>
              <w:t>Whenever possible, 3</w:t>
            </w:r>
            <w:r>
              <w:rPr>
                <w:rFonts w:cs="Calibri"/>
                <w:sz w:val="24"/>
                <w:szCs w:val="24"/>
                <w:vertAlign w:val="superscript"/>
              </w:rPr>
              <w:t>rd</w:t>
            </w:r>
            <w:r>
              <w:rPr>
                <w:rFonts w:cs="Calibri"/>
                <w:sz w:val="24"/>
                <w:szCs w:val="24"/>
              </w:rPr>
              <w:t xml:space="preserve"> party payment agreements will be made directly with authorized vendors to avoid payment or reimbursement of sales tax.</w:t>
            </w:r>
          </w:p>
          <w:p w14:paraId="43A72CEF" w14:textId="77777777" w:rsidR="005E376A" w:rsidRDefault="005E376A" w:rsidP="00773165">
            <w:pPr>
              <w:pStyle w:val="CommentText"/>
              <w:numPr>
                <w:ilvl w:val="0"/>
                <w:numId w:val="32"/>
              </w:numPr>
              <w:rPr>
                <w:rFonts w:cs="Calibri"/>
                <w:sz w:val="24"/>
                <w:szCs w:val="24"/>
              </w:rPr>
            </w:pPr>
            <w:r>
              <w:rPr>
                <w:rFonts w:cs="Calibri"/>
                <w:sz w:val="24"/>
                <w:szCs w:val="24"/>
              </w:rPr>
              <w:t xml:space="preserve">Receipts should be submitted timely.  Receipts that are not submitted in a timely manner may not be reimbursable. </w:t>
            </w:r>
          </w:p>
          <w:p w14:paraId="7F73B293" w14:textId="77777777" w:rsidR="006F08C6" w:rsidRDefault="006F08C6" w:rsidP="008D66E9">
            <w:pPr>
              <w:pStyle w:val="CommentText"/>
              <w:rPr>
                <w:rFonts w:cs="Calibri"/>
                <w:sz w:val="24"/>
                <w:szCs w:val="24"/>
              </w:rPr>
            </w:pPr>
          </w:p>
          <w:p w14:paraId="1496A4DF" w14:textId="77777777" w:rsidR="006F08C6" w:rsidRDefault="006F08C6" w:rsidP="00773165">
            <w:pPr>
              <w:pStyle w:val="CommentText"/>
              <w:rPr>
                <w:rFonts w:cs="Calibri"/>
                <w:sz w:val="24"/>
                <w:szCs w:val="24"/>
              </w:rPr>
            </w:pPr>
          </w:p>
        </w:tc>
      </w:tr>
      <w:tr w:rsidR="00B969D4" w:rsidRPr="00AA2BBA" w14:paraId="27ED5246" w14:textId="77777777" w:rsidTr="005F2790">
        <w:trPr>
          <w:trHeight w:hRule="exact" w:val="2069"/>
          <w:jc w:val="center"/>
        </w:trPr>
        <w:tc>
          <w:tcPr>
            <w:tcW w:w="943" w:type="dxa"/>
            <w:vMerge w:val="restart"/>
            <w:textDirection w:val="btLr"/>
          </w:tcPr>
          <w:p w14:paraId="102AFD09" w14:textId="77777777" w:rsidR="00B969D4" w:rsidRPr="00EF2DB6" w:rsidRDefault="00B969D4">
            <w:pPr>
              <w:ind w:left="113" w:right="113"/>
              <w:jc w:val="center"/>
              <w:rPr>
                <w:rFonts w:ascii="Arial" w:hAnsi="Arial"/>
                <w:sz w:val="28"/>
                <w:szCs w:val="28"/>
              </w:rPr>
            </w:pPr>
            <w:r w:rsidRPr="00EF2DB6">
              <w:rPr>
                <w:rFonts w:ascii="Arial" w:hAnsi="Arial"/>
                <w:sz w:val="28"/>
                <w:szCs w:val="28"/>
              </w:rPr>
              <w:t>Supplies that may be covered by TAA</w:t>
            </w:r>
          </w:p>
          <w:p w14:paraId="5C39F30C" w14:textId="77777777" w:rsidR="00B969D4" w:rsidRPr="00787419" w:rsidRDefault="00B969D4">
            <w:pPr>
              <w:ind w:left="113" w:right="113"/>
              <w:jc w:val="center"/>
              <w:rPr>
                <w:rFonts w:ascii="Arial" w:hAnsi="Arial"/>
              </w:rPr>
            </w:pPr>
            <w:r>
              <w:rPr>
                <w:rFonts w:ascii="Arial" w:hAnsi="Arial"/>
              </w:rPr>
              <w:t>Remember to save your receipts.</w:t>
            </w:r>
          </w:p>
        </w:tc>
        <w:tc>
          <w:tcPr>
            <w:tcW w:w="875" w:type="dxa"/>
            <w:vMerge w:val="restart"/>
            <w:shd w:val="clear" w:color="auto" w:fill="auto"/>
            <w:vAlign w:val="center"/>
          </w:tcPr>
          <w:p w14:paraId="362DF6B7" w14:textId="77777777" w:rsidR="00B969D4" w:rsidRPr="00AA2BBA" w:rsidRDefault="00B969D4">
            <w:pPr>
              <w:jc w:val="center"/>
              <w:rPr>
                <w:rFonts w:ascii="Arial" w:hAnsi="Arial"/>
                <w:sz w:val="52"/>
                <w:szCs w:val="52"/>
              </w:rPr>
            </w:pPr>
          </w:p>
        </w:tc>
        <w:tc>
          <w:tcPr>
            <w:tcW w:w="9067" w:type="dxa"/>
            <w:shd w:val="clear" w:color="auto" w:fill="auto"/>
          </w:tcPr>
          <w:p w14:paraId="1C5E9EC7" w14:textId="77777777" w:rsidR="00B969D4" w:rsidRDefault="00B969D4">
            <w:pPr>
              <w:pStyle w:val="ListParagraph"/>
              <w:numPr>
                <w:ilvl w:val="0"/>
                <w:numId w:val="22"/>
              </w:numPr>
              <w:rPr>
                <w:rFonts w:ascii="Calibri" w:hAnsi="Calibri" w:cs="Calibri"/>
                <w:sz w:val="24"/>
                <w:szCs w:val="24"/>
              </w:rPr>
            </w:pPr>
            <w:r w:rsidRPr="005574BE">
              <w:rPr>
                <w:rFonts w:ascii="Calibri" w:hAnsi="Calibri" w:cs="Calibri"/>
                <w:b/>
                <w:bCs/>
                <w:sz w:val="24"/>
                <w:szCs w:val="24"/>
              </w:rPr>
              <w:t>General supplies</w:t>
            </w:r>
            <w:r w:rsidRPr="005574BE">
              <w:rPr>
                <w:rFonts w:ascii="Calibri" w:hAnsi="Calibri" w:cs="Calibri"/>
                <w:sz w:val="24"/>
                <w:szCs w:val="24"/>
              </w:rPr>
              <w:t xml:space="preserve"> </w:t>
            </w:r>
          </w:p>
          <w:p w14:paraId="74FDF907" w14:textId="77777777" w:rsidR="00B969D4" w:rsidRDefault="00B969D4">
            <w:pPr>
              <w:pStyle w:val="ListParagraph"/>
              <w:numPr>
                <w:ilvl w:val="0"/>
                <w:numId w:val="23"/>
              </w:numPr>
              <w:rPr>
                <w:rFonts w:ascii="Calibri" w:hAnsi="Calibri" w:cs="Calibri"/>
                <w:sz w:val="24"/>
                <w:szCs w:val="24"/>
              </w:rPr>
            </w:pPr>
            <w:bookmarkStart w:id="1" w:name="_Hlk129246646"/>
            <w:r w:rsidRPr="005574BE">
              <w:rPr>
                <w:rFonts w:ascii="Calibri" w:hAnsi="Calibri" w:cs="Calibri"/>
                <w:sz w:val="24"/>
                <w:szCs w:val="24"/>
              </w:rPr>
              <w:t>$75 maximum per semester</w:t>
            </w:r>
            <w:bookmarkStart w:id="2" w:name="_Hlk129246664"/>
            <w:r>
              <w:rPr>
                <w:rFonts w:ascii="Calibri" w:hAnsi="Calibri" w:cs="Calibri"/>
                <w:sz w:val="24"/>
                <w:szCs w:val="24"/>
              </w:rPr>
              <w:t>/trimester/quarter (not to exceed $225 per calendar year)</w:t>
            </w:r>
            <w:bookmarkEnd w:id="2"/>
          </w:p>
          <w:bookmarkEnd w:id="1"/>
          <w:p w14:paraId="4E477F59" w14:textId="77777777" w:rsidR="00B969D4" w:rsidRPr="00E333CC" w:rsidRDefault="00B969D4">
            <w:pPr>
              <w:pStyle w:val="ListParagraph"/>
              <w:numPr>
                <w:ilvl w:val="0"/>
                <w:numId w:val="23"/>
              </w:numPr>
            </w:pPr>
            <w:r w:rsidRPr="005574BE">
              <w:rPr>
                <w:rFonts w:ascii="Calibri" w:hAnsi="Calibri" w:cs="Calibri"/>
                <w:sz w:val="24"/>
                <w:szCs w:val="24"/>
              </w:rPr>
              <w:t xml:space="preserve">General supplies include but are not limited to notebooks, binders, folders, index cards, printer ink, photocopier cards, paper, printer paper, thumb drives.  </w:t>
            </w:r>
          </w:p>
        </w:tc>
      </w:tr>
      <w:tr w:rsidR="00B969D4" w:rsidRPr="00AA2BBA" w14:paraId="6679C58F" w14:textId="77777777" w:rsidTr="005F2790">
        <w:trPr>
          <w:trHeight w:val="793"/>
          <w:jc w:val="center"/>
        </w:trPr>
        <w:tc>
          <w:tcPr>
            <w:tcW w:w="943" w:type="dxa"/>
            <w:vMerge/>
            <w:textDirection w:val="btLr"/>
          </w:tcPr>
          <w:p w14:paraId="567A1235" w14:textId="77777777" w:rsidR="00B969D4" w:rsidRPr="00AA2BBA" w:rsidRDefault="00B969D4">
            <w:pPr>
              <w:ind w:left="113" w:right="113"/>
              <w:jc w:val="center"/>
              <w:rPr>
                <w:rFonts w:ascii="Arial" w:hAnsi="Arial"/>
                <w:sz w:val="52"/>
                <w:szCs w:val="52"/>
              </w:rPr>
            </w:pPr>
          </w:p>
        </w:tc>
        <w:tc>
          <w:tcPr>
            <w:tcW w:w="875" w:type="dxa"/>
            <w:vMerge/>
            <w:shd w:val="clear" w:color="auto" w:fill="auto"/>
            <w:vAlign w:val="center"/>
          </w:tcPr>
          <w:p w14:paraId="24195FBC" w14:textId="77777777" w:rsidR="00B969D4" w:rsidRPr="00AA2BBA" w:rsidRDefault="00B969D4">
            <w:pPr>
              <w:jc w:val="center"/>
              <w:rPr>
                <w:rFonts w:ascii="Arial" w:hAnsi="Arial"/>
                <w:sz w:val="52"/>
                <w:szCs w:val="52"/>
              </w:rPr>
            </w:pPr>
          </w:p>
        </w:tc>
        <w:tc>
          <w:tcPr>
            <w:tcW w:w="9067" w:type="dxa"/>
            <w:shd w:val="clear" w:color="auto" w:fill="auto"/>
          </w:tcPr>
          <w:p w14:paraId="7C7A7906" w14:textId="77777777" w:rsidR="00B969D4" w:rsidRDefault="00B969D4">
            <w:pPr>
              <w:pStyle w:val="ListParagraph"/>
              <w:numPr>
                <w:ilvl w:val="0"/>
                <w:numId w:val="22"/>
              </w:numPr>
              <w:rPr>
                <w:rFonts w:ascii="Calibri" w:hAnsi="Calibri" w:cs="Calibri"/>
                <w:sz w:val="24"/>
                <w:szCs w:val="24"/>
              </w:rPr>
            </w:pPr>
            <w:r w:rsidRPr="005574BE">
              <w:rPr>
                <w:rFonts w:ascii="Calibri" w:hAnsi="Calibri" w:cs="Calibri"/>
                <w:b/>
                <w:bCs/>
                <w:sz w:val="24"/>
                <w:szCs w:val="24"/>
              </w:rPr>
              <w:t>Bookbag/backpack/roller bag or similar</w:t>
            </w:r>
          </w:p>
          <w:p w14:paraId="0181D132" w14:textId="77777777" w:rsidR="00B969D4" w:rsidRDefault="00B969D4">
            <w:pPr>
              <w:pStyle w:val="ListParagraph"/>
              <w:numPr>
                <w:ilvl w:val="0"/>
                <w:numId w:val="25"/>
              </w:numPr>
              <w:rPr>
                <w:rFonts w:ascii="Calibri" w:hAnsi="Calibri" w:cs="Calibri"/>
                <w:sz w:val="24"/>
                <w:szCs w:val="24"/>
              </w:rPr>
            </w:pPr>
            <w:r>
              <w:rPr>
                <w:rFonts w:ascii="Calibri" w:hAnsi="Calibri" w:cs="Calibri"/>
                <w:sz w:val="24"/>
                <w:szCs w:val="24"/>
              </w:rPr>
              <w:t>O</w:t>
            </w:r>
            <w:r w:rsidRPr="00456CF1">
              <w:rPr>
                <w:rFonts w:ascii="Calibri" w:hAnsi="Calibri" w:cs="Calibri"/>
                <w:sz w:val="24"/>
                <w:szCs w:val="24"/>
              </w:rPr>
              <w:t xml:space="preserve">ne-time $75 maximum amount </w:t>
            </w:r>
          </w:p>
          <w:p w14:paraId="6C4321EF" w14:textId="77777777" w:rsidR="00B969D4" w:rsidRPr="00AA2BBA" w:rsidRDefault="00B969D4">
            <w:pPr>
              <w:pStyle w:val="ListParagraph"/>
              <w:ind w:left="0"/>
            </w:pPr>
          </w:p>
        </w:tc>
      </w:tr>
      <w:tr w:rsidR="00B969D4" w:rsidRPr="00AA2BBA" w14:paraId="06CCDBE3" w14:textId="77777777" w:rsidTr="005F2790">
        <w:trPr>
          <w:trHeight w:hRule="exact" w:val="1353"/>
          <w:jc w:val="center"/>
        </w:trPr>
        <w:tc>
          <w:tcPr>
            <w:tcW w:w="943" w:type="dxa"/>
            <w:vMerge/>
            <w:textDirection w:val="btLr"/>
          </w:tcPr>
          <w:p w14:paraId="689CEE5E" w14:textId="77777777" w:rsidR="00B969D4" w:rsidRPr="00AA2BBA" w:rsidRDefault="00B969D4">
            <w:pPr>
              <w:ind w:left="113" w:right="113"/>
              <w:jc w:val="center"/>
              <w:rPr>
                <w:rFonts w:ascii="Arial" w:hAnsi="Arial"/>
                <w:sz w:val="52"/>
                <w:szCs w:val="52"/>
              </w:rPr>
            </w:pPr>
          </w:p>
        </w:tc>
        <w:tc>
          <w:tcPr>
            <w:tcW w:w="875" w:type="dxa"/>
            <w:vMerge/>
            <w:shd w:val="clear" w:color="auto" w:fill="auto"/>
            <w:vAlign w:val="center"/>
          </w:tcPr>
          <w:p w14:paraId="677169CF" w14:textId="77777777" w:rsidR="00B969D4" w:rsidRPr="00AA2BBA" w:rsidRDefault="00B969D4">
            <w:pPr>
              <w:jc w:val="center"/>
              <w:rPr>
                <w:rFonts w:ascii="Arial" w:hAnsi="Arial"/>
                <w:sz w:val="52"/>
                <w:szCs w:val="52"/>
              </w:rPr>
            </w:pPr>
          </w:p>
        </w:tc>
        <w:tc>
          <w:tcPr>
            <w:tcW w:w="9067" w:type="dxa"/>
            <w:shd w:val="clear" w:color="auto" w:fill="auto"/>
          </w:tcPr>
          <w:p w14:paraId="04F505FE" w14:textId="77777777" w:rsidR="00B969D4" w:rsidRDefault="00B969D4">
            <w:pPr>
              <w:pStyle w:val="ListParagraph"/>
              <w:numPr>
                <w:ilvl w:val="0"/>
                <w:numId w:val="22"/>
              </w:numPr>
              <w:rPr>
                <w:rFonts w:ascii="Calibri" w:hAnsi="Calibri" w:cs="Calibri"/>
                <w:sz w:val="24"/>
                <w:szCs w:val="24"/>
              </w:rPr>
            </w:pPr>
            <w:r w:rsidRPr="00456CF1">
              <w:rPr>
                <w:rFonts w:ascii="Calibri" w:hAnsi="Calibri" w:cs="Calibri"/>
                <w:b/>
                <w:bCs/>
                <w:sz w:val="24"/>
                <w:szCs w:val="24"/>
              </w:rPr>
              <w:t>Related Fees</w:t>
            </w:r>
            <w:r w:rsidRPr="00456CF1">
              <w:rPr>
                <w:rFonts w:ascii="Calibri" w:hAnsi="Calibri" w:cs="Calibri"/>
                <w:sz w:val="24"/>
                <w:szCs w:val="24"/>
              </w:rPr>
              <w:t xml:space="preserve"> </w:t>
            </w:r>
          </w:p>
          <w:p w14:paraId="46F381F1" w14:textId="77777777" w:rsidR="00B969D4" w:rsidRPr="005574BE" w:rsidRDefault="00B969D4">
            <w:pPr>
              <w:pStyle w:val="ListParagraph"/>
              <w:numPr>
                <w:ilvl w:val="0"/>
                <w:numId w:val="25"/>
              </w:numPr>
              <w:rPr>
                <w:rFonts w:ascii="Calibri" w:hAnsi="Calibri" w:cs="Calibri"/>
                <w:b/>
                <w:bCs/>
                <w:sz w:val="24"/>
                <w:szCs w:val="24"/>
              </w:rPr>
            </w:pPr>
            <w:r>
              <w:rPr>
                <w:rFonts w:ascii="Calibri" w:hAnsi="Calibri" w:cs="Calibri"/>
                <w:sz w:val="24"/>
                <w:szCs w:val="24"/>
              </w:rPr>
              <w:t>C</w:t>
            </w:r>
            <w:r w:rsidRPr="00456CF1">
              <w:rPr>
                <w:rFonts w:ascii="Calibri" w:hAnsi="Calibri" w:cs="Calibri"/>
                <w:sz w:val="24"/>
                <w:szCs w:val="24"/>
              </w:rPr>
              <w:t>overed in full (</w:t>
            </w:r>
            <w:r>
              <w:rPr>
                <w:rFonts w:ascii="Calibri" w:hAnsi="Calibri" w:cs="Calibri"/>
                <w:sz w:val="24"/>
                <w:szCs w:val="24"/>
              </w:rPr>
              <w:t>e</w:t>
            </w:r>
            <w:r w:rsidRPr="00456CF1">
              <w:rPr>
                <w:rFonts w:ascii="Calibri" w:hAnsi="Calibri" w:cs="Calibri"/>
                <w:sz w:val="24"/>
                <w:szCs w:val="24"/>
              </w:rPr>
              <w:t xml:space="preserve">.g., school parking, graduation fee, laboratory, and other academic fees) </w:t>
            </w:r>
          </w:p>
        </w:tc>
      </w:tr>
      <w:tr w:rsidR="00B969D4" w:rsidRPr="00AA2BBA" w14:paraId="4784BE01" w14:textId="77777777" w:rsidTr="005F2790">
        <w:trPr>
          <w:trHeight w:hRule="exact" w:val="1810"/>
          <w:jc w:val="center"/>
        </w:trPr>
        <w:tc>
          <w:tcPr>
            <w:tcW w:w="943" w:type="dxa"/>
            <w:vMerge/>
            <w:textDirection w:val="btLr"/>
          </w:tcPr>
          <w:p w14:paraId="7C1C4510" w14:textId="77777777" w:rsidR="00B969D4" w:rsidRPr="00AA2BBA" w:rsidRDefault="00B969D4">
            <w:pPr>
              <w:ind w:left="113" w:right="113"/>
              <w:jc w:val="center"/>
              <w:rPr>
                <w:rFonts w:ascii="Arial" w:hAnsi="Arial"/>
                <w:sz w:val="52"/>
                <w:szCs w:val="52"/>
              </w:rPr>
            </w:pPr>
          </w:p>
        </w:tc>
        <w:tc>
          <w:tcPr>
            <w:tcW w:w="875" w:type="dxa"/>
            <w:vMerge/>
            <w:shd w:val="clear" w:color="auto" w:fill="auto"/>
            <w:vAlign w:val="center"/>
          </w:tcPr>
          <w:p w14:paraId="63928074" w14:textId="77777777" w:rsidR="00B969D4" w:rsidRPr="00AA2BBA" w:rsidRDefault="00B969D4">
            <w:pPr>
              <w:jc w:val="center"/>
              <w:rPr>
                <w:rFonts w:ascii="Arial" w:hAnsi="Arial"/>
                <w:sz w:val="52"/>
                <w:szCs w:val="52"/>
              </w:rPr>
            </w:pPr>
          </w:p>
        </w:tc>
        <w:tc>
          <w:tcPr>
            <w:tcW w:w="9067" w:type="dxa"/>
            <w:shd w:val="clear" w:color="auto" w:fill="auto"/>
          </w:tcPr>
          <w:p w14:paraId="0656D5E9" w14:textId="77777777" w:rsidR="00B969D4" w:rsidRPr="00DA6B14" w:rsidRDefault="00B969D4">
            <w:pPr>
              <w:pStyle w:val="ListParagraph"/>
              <w:numPr>
                <w:ilvl w:val="0"/>
                <w:numId w:val="22"/>
              </w:numPr>
              <w:rPr>
                <w:rFonts w:ascii="Calibri" w:hAnsi="Calibri" w:cs="Calibri"/>
                <w:sz w:val="24"/>
                <w:szCs w:val="24"/>
              </w:rPr>
            </w:pPr>
            <w:r w:rsidRPr="005574BE">
              <w:rPr>
                <w:rFonts w:ascii="Calibri" w:hAnsi="Calibri" w:cs="Calibri"/>
                <w:b/>
                <w:bCs/>
                <w:sz w:val="24"/>
                <w:szCs w:val="24"/>
              </w:rPr>
              <w:t xml:space="preserve">Books </w:t>
            </w:r>
          </w:p>
          <w:p w14:paraId="4C58F11C" w14:textId="77777777" w:rsidR="00B969D4" w:rsidRPr="00DA6B14" w:rsidRDefault="00B969D4" w:rsidP="00A57872">
            <w:pPr>
              <w:pStyle w:val="ListParagraph"/>
              <w:numPr>
                <w:ilvl w:val="0"/>
                <w:numId w:val="25"/>
              </w:numPr>
              <w:rPr>
                <w:rFonts w:ascii="Calibri" w:hAnsi="Calibri" w:cs="Calibri"/>
                <w:sz w:val="24"/>
                <w:szCs w:val="24"/>
              </w:rPr>
            </w:pPr>
            <w:r w:rsidRPr="00DA6B14">
              <w:rPr>
                <w:rFonts w:ascii="Calibri" w:hAnsi="Calibri" w:cs="Calibri"/>
                <w:sz w:val="24"/>
                <w:szCs w:val="24"/>
              </w:rPr>
              <w:t>Only books listed as required on the syllabus will be purchased by TA</w:t>
            </w:r>
            <w:r>
              <w:rPr>
                <w:rFonts w:ascii="Calibri" w:hAnsi="Calibri" w:cs="Calibri"/>
                <w:sz w:val="24"/>
                <w:szCs w:val="24"/>
              </w:rPr>
              <w:t>A.</w:t>
            </w:r>
          </w:p>
          <w:p w14:paraId="0B26921F" w14:textId="77777777" w:rsidR="00B969D4" w:rsidRPr="005574BE" w:rsidRDefault="00B969D4" w:rsidP="00A57872">
            <w:pPr>
              <w:pStyle w:val="ListParagraph"/>
              <w:numPr>
                <w:ilvl w:val="0"/>
                <w:numId w:val="25"/>
              </w:numPr>
              <w:rPr>
                <w:rFonts w:ascii="Calibri" w:hAnsi="Calibri" w:cs="Calibri"/>
                <w:sz w:val="24"/>
                <w:szCs w:val="24"/>
              </w:rPr>
            </w:pPr>
            <w:r>
              <w:rPr>
                <w:rFonts w:ascii="Calibri" w:hAnsi="Calibri" w:cs="Calibri"/>
                <w:sz w:val="24"/>
                <w:szCs w:val="24"/>
              </w:rPr>
              <w:t>I</w:t>
            </w:r>
            <w:r w:rsidRPr="005574BE">
              <w:rPr>
                <w:rFonts w:ascii="Calibri" w:hAnsi="Calibri" w:cs="Calibri"/>
                <w:sz w:val="24"/>
                <w:szCs w:val="24"/>
              </w:rPr>
              <w:t>f an e-book is required for the class curriculum an additional physical copy will not be paid for unless there is a documented accommodation need.</w:t>
            </w:r>
          </w:p>
          <w:p w14:paraId="61C065A8" w14:textId="77777777" w:rsidR="00B969D4" w:rsidRPr="005574BE" w:rsidRDefault="00B969D4" w:rsidP="00A57872">
            <w:pPr>
              <w:pStyle w:val="ListParagraph"/>
              <w:numPr>
                <w:ilvl w:val="0"/>
                <w:numId w:val="25"/>
              </w:numPr>
              <w:rPr>
                <w:rFonts w:ascii="Calibri" w:hAnsi="Calibri" w:cs="Calibri"/>
                <w:sz w:val="24"/>
                <w:szCs w:val="24"/>
              </w:rPr>
            </w:pPr>
            <w:r w:rsidRPr="005574BE">
              <w:rPr>
                <w:rFonts w:ascii="Calibri" w:hAnsi="Calibri" w:cs="Calibri"/>
                <w:sz w:val="24"/>
                <w:szCs w:val="24"/>
              </w:rPr>
              <w:t>TAA will pay for required book rentals.</w:t>
            </w:r>
          </w:p>
          <w:p w14:paraId="2D08D94A" w14:textId="77777777" w:rsidR="00B969D4" w:rsidRPr="005574BE" w:rsidRDefault="00B969D4" w:rsidP="00A57872">
            <w:pPr>
              <w:pStyle w:val="ListParagraph"/>
              <w:rPr>
                <w:rFonts w:ascii="Calibri" w:hAnsi="Calibri" w:cs="Calibri"/>
                <w:b/>
                <w:bCs/>
                <w:sz w:val="24"/>
                <w:szCs w:val="24"/>
              </w:rPr>
            </w:pPr>
          </w:p>
        </w:tc>
      </w:tr>
      <w:tr w:rsidR="003623A1" w:rsidRPr="005F4EAC" w14:paraId="28345768" w14:textId="77777777" w:rsidTr="005F2790">
        <w:trPr>
          <w:cantSplit/>
          <w:trHeight w:val="4220"/>
          <w:jc w:val="center"/>
        </w:trPr>
        <w:tc>
          <w:tcPr>
            <w:tcW w:w="943" w:type="dxa"/>
            <w:vMerge/>
            <w:textDirection w:val="btLr"/>
          </w:tcPr>
          <w:p w14:paraId="4A7A0933" w14:textId="77777777" w:rsidR="003623A1" w:rsidRPr="00AA2BBA" w:rsidRDefault="003623A1">
            <w:pPr>
              <w:ind w:left="113" w:right="113"/>
              <w:jc w:val="center"/>
              <w:rPr>
                <w:rFonts w:ascii="Arial" w:hAnsi="Arial"/>
                <w:sz w:val="52"/>
                <w:szCs w:val="52"/>
              </w:rPr>
            </w:pPr>
          </w:p>
        </w:tc>
        <w:tc>
          <w:tcPr>
            <w:tcW w:w="875" w:type="dxa"/>
            <w:shd w:val="clear" w:color="auto" w:fill="auto"/>
            <w:textDirection w:val="btLr"/>
            <w:vAlign w:val="center"/>
          </w:tcPr>
          <w:p w14:paraId="46BFC564" w14:textId="77777777" w:rsidR="003623A1" w:rsidRDefault="00537C84" w:rsidP="005F2790">
            <w:pPr>
              <w:ind w:left="113" w:right="113"/>
              <w:jc w:val="center"/>
              <w:rPr>
                <w:rFonts w:cs="Calibri"/>
                <w:sz w:val="24"/>
                <w:szCs w:val="24"/>
              </w:rPr>
            </w:pPr>
            <w:r>
              <w:rPr>
                <w:rFonts w:cs="Calibri"/>
                <w:sz w:val="24"/>
                <w:szCs w:val="24"/>
              </w:rPr>
              <w:t>Remember to get prior authorization before computer purchase.</w:t>
            </w:r>
          </w:p>
        </w:tc>
        <w:tc>
          <w:tcPr>
            <w:tcW w:w="9067" w:type="dxa"/>
            <w:shd w:val="clear" w:color="auto" w:fill="auto"/>
          </w:tcPr>
          <w:p w14:paraId="46045B54" w14:textId="77777777" w:rsidR="003623A1" w:rsidRDefault="003623A1" w:rsidP="003623A1">
            <w:pPr>
              <w:pStyle w:val="ListParagraph"/>
              <w:numPr>
                <w:ilvl w:val="0"/>
                <w:numId w:val="22"/>
              </w:numPr>
              <w:rPr>
                <w:rFonts w:ascii="Calibri" w:hAnsi="Calibri" w:cs="Calibri"/>
                <w:sz w:val="24"/>
                <w:szCs w:val="24"/>
              </w:rPr>
            </w:pPr>
            <w:r w:rsidRPr="005574BE">
              <w:rPr>
                <w:rFonts w:ascii="Calibri" w:hAnsi="Calibri" w:cs="Calibri"/>
                <w:b/>
                <w:bCs/>
                <w:sz w:val="24"/>
                <w:szCs w:val="24"/>
              </w:rPr>
              <w:t>Computer</w:t>
            </w:r>
            <w:r w:rsidRPr="005574BE">
              <w:rPr>
                <w:rFonts w:ascii="Calibri" w:hAnsi="Calibri" w:cs="Calibri"/>
                <w:sz w:val="24"/>
                <w:szCs w:val="24"/>
              </w:rPr>
              <w:t xml:space="preserve"> </w:t>
            </w:r>
          </w:p>
          <w:p w14:paraId="303082BA" w14:textId="77777777" w:rsidR="003623A1" w:rsidRPr="005574BE" w:rsidRDefault="003623A1" w:rsidP="003623A1">
            <w:pPr>
              <w:pStyle w:val="ListParagraph"/>
              <w:numPr>
                <w:ilvl w:val="0"/>
                <w:numId w:val="26"/>
              </w:numPr>
              <w:rPr>
                <w:rFonts w:ascii="Calibri" w:hAnsi="Calibri" w:cs="Calibri"/>
                <w:sz w:val="24"/>
                <w:szCs w:val="24"/>
              </w:rPr>
            </w:pPr>
            <w:r w:rsidRPr="005574BE">
              <w:rPr>
                <w:rFonts w:ascii="Calibri" w:hAnsi="Calibri" w:cs="Calibri"/>
                <w:sz w:val="24"/>
                <w:szCs w:val="24"/>
              </w:rPr>
              <w:t xml:space="preserve">$1000 maximum.  The $1000 maximum includes a computer plus any necessary additions such as printer, drawing tablet, camera, or headphones. TAA career planners must approve </w:t>
            </w:r>
            <w:r w:rsidRPr="00EA2C9B">
              <w:rPr>
                <w:rFonts w:ascii="Calibri" w:hAnsi="Calibri" w:cs="Calibri"/>
                <w:b/>
                <w:bCs/>
                <w:sz w:val="24"/>
                <w:szCs w:val="24"/>
              </w:rPr>
              <w:t>prior to purchase</w:t>
            </w:r>
            <w:r w:rsidRPr="005574BE">
              <w:rPr>
                <w:rFonts w:ascii="Calibri" w:hAnsi="Calibri" w:cs="Calibri"/>
                <w:sz w:val="24"/>
                <w:szCs w:val="24"/>
              </w:rPr>
              <w:t xml:space="preserve"> and determine that costs are reasonable.  There is no expectation that the full $1000 will be needed by every participant. </w:t>
            </w:r>
          </w:p>
          <w:p w14:paraId="5013F1E9" w14:textId="77777777" w:rsidR="003623A1" w:rsidRPr="00AA2BBA" w:rsidRDefault="003623A1" w:rsidP="00773165">
            <w:pPr>
              <w:pStyle w:val="ListParagraph"/>
              <w:numPr>
                <w:ilvl w:val="1"/>
                <w:numId w:val="15"/>
              </w:numPr>
            </w:pPr>
            <w:r w:rsidRPr="005574BE">
              <w:rPr>
                <w:rFonts w:ascii="Calibri" w:hAnsi="Calibri" w:cs="Calibri"/>
                <w:sz w:val="24"/>
                <w:szCs w:val="24"/>
              </w:rPr>
              <w:t xml:space="preserve">Additional justification and </w:t>
            </w:r>
            <w:r w:rsidR="004B2994">
              <w:rPr>
                <w:rFonts w:ascii="Calibri" w:hAnsi="Calibri" w:cs="Calibri"/>
                <w:sz w:val="24"/>
                <w:szCs w:val="24"/>
              </w:rPr>
              <w:t xml:space="preserve">prior </w:t>
            </w:r>
            <w:r w:rsidRPr="005574BE">
              <w:rPr>
                <w:rFonts w:ascii="Calibri" w:hAnsi="Calibri" w:cs="Calibri"/>
                <w:sz w:val="24"/>
                <w:szCs w:val="24"/>
              </w:rPr>
              <w:t xml:space="preserve">approval are required for computer purchases that exceed $1,000.00. </w:t>
            </w:r>
          </w:p>
        </w:tc>
      </w:tr>
      <w:tr w:rsidR="003623A1" w:rsidRPr="005F4EAC" w14:paraId="32B667FF" w14:textId="77777777" w:rsidTr="005F2790">
        <w:trPr>
          <w:trHeight w:hRule="exact" w:val="4960"/>
          <w:jc w:val="center"/>
        </w:trPr>
        <w:tc>
          <w:tcPr>
            <w:tcW w:w="943" w:type="dxa"/>
            <w:vMerge/>
            <w:textDirection w:val="btLr"/>
          </w:tcPr>
          <w:p w14:paraId="7B09E980" w14:textId="77777777" w:rsidR="003623A1" w:rsidRPr="00AA2BBA" w:rsidRDefault="003623A1" w:rsidP="003623A1">
            <w:pPr>
              <w:ind w:left="113" w:right="113"/>
              <w:jc w:val="center"/>
              <w:rPr>
                <w:rFonts w:ascii="Arial" w:hAnsi="Arial"/>
                <w:sz w:val="52"/>
                <w:szCs w:val="52"/>
              </w:rPr>
            </w:pPr>
          </w:p>
        </w:tc>
        <w:tc>
          <w:tcPr>
            <w:tcW w:w="875" w:type="dxa"/>
            <w:shd w:val="clear" w:color="auto" w:fill="auto"/>
            <w:vAlign w:val="center"/>
          </w:tcPr>
          <w:p w14:paraId="464FC098" w14:textId="77777777" w:rsidR="003623A1" w:rsidRPr="00AA2BBA" w:rsidRDefault="003623A1" w:rsidP="003623A1">
            <w:pPr>
              <w:jc w:val="center"/>
              <w:rPr>
                <w:rFonts w:ascii="Arial" w:hAnsi="Arial"/>
                <w:sz w:val="52"/>
                <w:szCs w:val="52"/>
              </w:rPr>
            </w:pPr>
          </w:p>
        </w:tc>
        <w:tc>
          <w:tcPr>
            <w:tcW w:w="9067" w:type="dxa"/>
            <w:shd w:val="clear" w:color="auto" w:fill="auto"/>
          </w:tcPr>
          <w:p w14:paraId="7C9C730A" w14:textId="77777777" w:rsidR="00D04899" w:rsidRPr="00D04899" w:rsidRDefault="003623A1" w:rsidP="00D04899">
            <w:pPr>
              <w:pStyle w:val="ListParagraph"/>
              <w:numPr>
                <w:ilvl w:val="0"/>
                <w:numId w:val="22"/>
              </w:numPr>
              <w:rPr>
                <w:rFonts w:ascii="Calibri" w:hAnsi="Calibri" w:cs="Calibri"/>
                <w:sz w:val="24"/>
                <w:szCs w:val="24"/>
              </w:rPr>
            </w:pPr>
            <w:r w:rsidRPr="007E001B">
              <w:rPr>
                <w:rFonts w:ascii="Calibri" w:hAnsi="Calibri" w:cs="Calibri"/>
                <w:b/>
                <w:bCs/>
                <w:sz w:val="24"/>
                <w:szCs w:val="24"/>
              </w:rPr>
              <w:t>Internet</w:t>
            </w:r>
          </w:p>
          <w:p w14:paraId="18F62F16" w14:textId="77777777" w:rsidR="00D04899" w:rsidRDefault="003623A1" w:rsidP="00D04899">
            <w:pPr>
              <w:pStyle w:val="ListParagraph"/>
              <w:numPr>
                <w:ilvl w:val="1"/>
                <w:numId w:val="15"/>
              </w:numPr>
              <w:rPr>
                <w:rFonts w:ascii="Calibri" w:hAnsi="Calibri" w:cs="Calibri"/>
                <w:sz w:val="24"/>
                <w:szCs w:val="24"/>
              </w:rPr>
            </w:pPr>
            <w:r w:rsidRPr="007E001B">
              <w:rPr>
                <w:rFonts w:ascii="Calibri" w:hAnsi="Calibri" w:cs="Calibri"/>
                <w:sz w:val="24"/>
                <w:szCs w:val="24"/>
              </w:rPr>
              <w:t xml:space="preserve">Internet costs </w:t>
            </w:r>
            <w:r w:rsidR="004B2994">
              <w:rPr>
                <w:rFonts w:ascii="Calibri" w:hAnsi="Calibri" w:cs="Calibri"/>
                <w:sz w:val="24"/>
                <w:szCs w:val="24"/>
              </w:rPr>
              <w:t>is an allowable expense</w:t>
            </w:r>
            <w:r w:rsidRPr="007E001B">
              <w:rPr>
                <w:rFonts w:ascii="Calibri" w:hAnsi="Calibri" w:cs="Calibri"/>
                <w:sz w:val="24"/>
                <w:szCs w:val="24"/>
              </w:rPr>
              <w:t xml:space="preserve"> during the duration of the training program. </w:t>
            </w:r>
          </w:p>
          <w:p w14:paraId="37791A90" w14:textId="77777777" w:rsidR="003623A1" w:rsidRPr="007E001B" w:rsidRDefault="003623A1" w:rsidP="00D04899">
            <w:pPr>
              <w:pStyle w:val="ListParagraph"/>
              <w:numPr>
                <w:ilvl w:val="1"/>
                <w:numId w:val="15"/>
              </w:numPr>
              <w:rPr>
                <w:rFonts w:ascii="Calibri" w:hAnsi="Calibri" w:cs="Calibri"/>
                <w:sz w:val="24"/>
                <w:szCs w:val="24"/>
              </w:rPr>
            </w:pPr>
            <w:r w:rsidRPr="007E001B">
              <w:rPr>
                <w:rFonts w:ascii="Calibri" w:hAnsi="Calibri" w:cs="Calibri"/>
                <w:sz w:val="24"/>
                <w:szCs w:val="24"/>
              </w:rPr>
              <w:t xml:space="preserve">Payments </w:t>
            </w:r>
            <w:r w:rsidR="004B2994">
              <w:rPr>
                <w:rFonts w:ascii="Calibri" w:hAnsi="Calibri" w:cs="Calibri"/>
                <w:sz w:val="24"/>
                <w:szCs w:val="24"/>
              </w:rPr>
              <w:t>will</w:t>
            </w:r>
            <w:r w:rsidRPr="007E001B">
              <w:rPr>
                <w:rFonts w:ascii="Calibri" w:hAnsi="Calibri" w:cs="Calibri"/>
                <w:sz w:val="24"/>
                <w:szCs w:val="24"/>
              </w:rPr>
              <w:t xml:space="preserve"> be prorated based on the training plan start date.</w:t>
            </w:r>
          </w:p>
          <w:p w14:paraId="3BFCC94D" w14:textId="77777777" w:rsidR="003623A1" w:rsidRPr="007E001B" w:rsidRDefault="003623A1" w:rsidP="00D04899">
            <w:pPr>
              <w:pStyle w:val="ListParagraph"/>
              <w:numPr>
                <w:ilvl w:val="1"/>
                <w:numId w:val="27"/>
              </w:numPr>
              <w:rPr>
                <w:rFonts w:ascii="Calibri" w:hAnsi="Calibri" w:cs="Calibri"/>
                <w:sz w:val="24"/>
                <w:szCs w:val="24"/>
              </w:rPr>
            </w:pPr>
            <w:r w:rsidRPr="007E001B">
              <w:rPr>
                <w:rFonts w:ascii="Calibri" w:hAnsi="Calibri" w:cs="Calibri"/>
                <w:sz w:val="24"/>
                <w:szCs w:val="24"/>
              </w:rPr>
              <w:t xml:space="preserve">Internet payments </w:t>
            </w:r>
            <w:r w:rsidR="004B2994">
              <w:rPr>
                <w:rFonts w:ascii="Calibri" w:hAnsi="Calibri" w:cs="Calibri"/>
                <w:sz w:val="24"/>
                <w:szCs w:val="24"/>
              </w:rPr>
              <w:t>is an allowable expense</w:t>
            </w:r>
            <w:r w:rsidRPr="007E001B">
              <w:rPr>
                <w:rFonts w:ascii="Calibri" w:hAnsi="Calibri" w:cs="Calibri"/>
                <w:sz w:val="24"/>
                <w:szCs w:val="24"/>
              </w:rPr>
              <w:t xml:space="preserve"> over breaks in training of less than 30 business days.</w:t>
            </w:r>
          </w:p>
          <w:p w14:paraId="6BC35148" w14:textId="77777777" w:rsidR="003623A1" w:rsidRPr="007E001B" w:rsidRDefault="003623A1" w:rsidP="00D04899">
            <w:pPr>
              <w:pStyle w:val="ListParagraph"/>
              <w:numPr>
                <w:ilvl w:val="1"/>
                <w:numId w:val="27"/>
              </w:numPr>
              <w:rPr>
                <w:rFonts w:ascii="Calibri" w:hAnsi="Calibri" w:cs="Calibri"/>
                <w:sz w:val="24"/>
                <w:szCs w:val="24"/>
              </w:rPr>
            </w:pPr>
            <w:r w:rsidRPr="007E001B">
              <w:rPr>
                <w:rFonts w:ascii="Calibri" w:hAnsi="Calibri" w:cs="Calibri"/>
                <w:sz w:val="24"/>
                <w:szCs w:val="24"/>
              </w:rPr>
              <w:t xml:space="preserve">Bundled </w:t>
            </w:r>
            <w:r w:rsidR="004B2994">
              <w:rPr>
                <w:rFonts w:ascii="Calibri" w:hAnsi="Calibri" w:cs="Calibri"/>
                <w:sz w:val="24"/>
                <w:szCs w:val="24"/>
              </w:rPr>
              <w:t>service packages</w:t>
            </w:r>
            <w:r w:rsidRPr="007E001B">
              <w:rPr>
                <w:rFonts w:ascii="Calibri" w:hAnsi="Calibri" w:cs="Calibri"/>
                <w:sz w:val="24"/>
                <w:szCs w:val="24"/>
              </w:rPr>
              <w:t xml:space="preserve"> need to be itemized by the provider and only the internet</w:t>
            </w:r>
            <w:r w:rsidR="004B2994">
              <w:rPr>
                <w:rFonts w:ascii="Calibri" w:hAnsi="Calibri" w:cs="Calibri"/>
                <w:sz w:val="24"/>
                <w:szCs w:val="24"/>
              </w:rPr>
              <w:t>,</w:t>
            </w:r>
            <w:r w:rsidRPr="007E001B">
              <w:rPr>
                <w:rFonts w:ascii="Calibri" w:hAnsi="Calibri" w:cs="Calibri"/>
                <w:sz w:val="24"/>
                <w:szCs w:val="24"/>
              </w:rPr>
              <w:t xml:space="preserve"> internet equipment</w:t>
            </w:r>
            <w:r w:rsidR="004B2994">
              <w:rPr>
                <w:rFonts w:ascii="Calibri" w:hAnsi="Calibri" w:cs="Calibri"/>
                <w:sz w:val="24"/>
                <w:szCs w:val="24"/>
              </w:rPr>
              <w:t>, and tax</w:t>
            </w:r>
            <w:r w:rsidRPr="007E001B">
              <w:rPr>
                <w:rFonts w:ascii="Calibri" w:hAnsi="Calibri" w:cs="Calibri"/>
                <w:sz w:val="24"/>
                <w:szCs w:val="24"/>
              </w:rPr>
              <w:t xml:space="preserve"> portions may be reimbursed.</w:t>
            </w:r>
          </w:p>
          <w:p w14:paraId="0ACF2770" w14:textId="5820D4E7" w:rsidR="001B7443" w:rsidRPr="001B7443" w:rsidRDefault="004B2994" w:rsidP="001B7443">
            <w:pPr>
              <w:pStyle w:val="CommentText"/>
              <w:numPr>
                <w:ilvl w:val="1"/>
                <w:numId w:val="27"/>
              </w:numPr>
              <w:rPr>
                <w:sz w:val="24"/>
                <w:szCs w:val="24"/>
              </w:rPr>
            </w:pPr>
            <w:r w:rsidRPr="00773165">
              <w:rPr>
                <w:sz w:val="24"/>
                <w:szCs w:val="24"/>
              </w:rPr>
              <w:t>Submit internet invoices to your TAA Career Planner as you receive them. Proof of payment must be shown. This can be the subsequent invoice showing payment was received.</w:t>
            </w:r>
            <w:r w:rsidR="001B7443">
              <w:rPr>
                <w:sz w:val="24"/>
                <w:szCs w:val="24"/>
              </w:rPr>
              <w:t xml:space="preserve"> (</w:t>
            </w:r>
            <w:r w:rsidR="001B7443" w:rsidRPr="001B7443">
              <w:rPr>
                <w:sz w:val="24"/>
                <w:szCs w:val="24"/>
              </w:rPr>
              <w:t>Last internet payment needs invoice but does not need proof of payment</w:t>
            </w:r>
            <w:r w:rsidR="001B7443">
              <w:rPr>
                <w:sz w:val="24"/>
                <w:szCs w:val="24"/>
              </w:rPr>
              <w:t>.)</w:t>
            </w:r>
          </w:p>
          <w:p w14:paraId="37758685" w14:textId="77777777" w:rsidR="003623A1" w:rsidRPr="005574BE" w:rsidRDefault="003623A1" w:rsidP="00D04899">
            <w:pPr>
              <w:pStyle w:val="ListParagraph"/>
              <w:rPr>
                <w:rFonts w:ascii="Calibri" w:hAnsi="Calibri" w:cs="Calibri"/>
                <w:b/>
                <w:bCs/>
                <w:sz w:val="24"/>
                <w:szCs w:val="24"/>
              </w:rPr>
            </w:pPr>
          </w:p>
        </w:tc>
      </w:tr>
      <w:bookmarkEnd w:id="0"/>
    </w:tbl>
    <w:p w14:paraId="1AC066A6" w14:textId="77777777" w:rsidR="00FB19E7" w:rsidRDefault="00FB19E7" w:rsidP="00E333CC">
      <w:pPr>
        <w:widowControl w:val="0"/>
        <w:tabs>
          <w:tab w:val="left" w:pos="204"/>
        </w:tabs>
        <w:rPr>
          <w:rFonts w:ascii="Arial" w:hAnsi="Arial"/>
          <w:sz w:val="16"/>
        </w:rPr>
      </w:pPr>
    </w:p>
    <w:sectPr w:rsidR="00FB19E7" w:rsidSect="00164DBB">
      <w:headerReference w:type="default" r:id="rId7"/>
      <w:pgSz w:w="12240" w:h="15840"/>
      <w:pgMar w:top="432" w:right="720" w:bottom="432"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CF2BCB" w14:textId="77777777" w:rsidR="00001450" w:rsidRDefault="00001450" w:rsidP="00FB19E7">
      <w:r>
        <w:separator/>
      </w:r>
    </w:p>
  </w:endnote>
  <w:endnote w:type="continuationSeparator" w:id="0">
    <w:p w14:paraId="2A790315" w14:textId="77777777" w:rsidR="00001450" w:rsidRDefault="00001450" w:rsidP="00FB19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15DC9E" w14:textId="77777777" w:rsidR="00001450" w:rsidRDefault="00001450" w:rsidP="00FB19E7">
      <w:r>
        <w:separator/>
      </w:r>
    </w:p>
  </w:footnote>
  <w:footnote w:type="continuationSeparator" w:id="0">
    <w:p w14:paraId="441B34F6" w14:textId="77777777" w:rsidR="00001450" w:rsidRDefault="00001450" w:rsidP="00FB19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F74BC9" w14:textId="77777777" w:rsidR="00FB19E7" w:rsidRDefault="00FB19E7" w:rsidP="00FB19E7">
    <w:pPr>
      <w:pStyle w:val="Header"/>
    </w:pPr>
    <w:r>
      <w:t>Wisconsin Department of Workforce Development</w:t>
    </w:r>
  </w:p>
  <w:p w14:paraId="762321AD" w14:textId="77777777" w:rsidR="00FB19E7" w:rsidRDefault="00FB19E7" w:rsidP="00FB19E7">
    <w:pPr>
      <w:pStyle w:val="Header"/>
    </w:pPr>
    <w:r>
      <w:t>Division of Employment and Training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75347C"/>
    <w:multiLevelType w:val="hybridMultilevel"/>
    <w:tmpl w:val="81F86E76"/>
    <w:lvl w:ilvl="0" w:tplc="AFB071D4">
      <w:numFmt w:val="bullet"/>
      <w:lvlText w:val=""/>
      <w:lvlJc w:val="left"/>
      <w:pPr>
        <w:ind w:left="739" w:hanging="360"/>
      </w:pPr>
      <w:rPr>
        <w:rFonts w:ascii="Wingdings" w:eastAsia="Times New Roman" w:hAnsi="Wingdings" w:cs="Arial" w:hint="default"/>
        <w:sz w:val="20"/>
        <w:szCs w:val="20"/>
      </w:rPr>
    </w:lvl>
    <w:lvl w:ilvl="1" w:tplc="04090003" w:tentative="1">
      <w:start w:val="1"/>
      <w:numFmt w:val="bullet"/>
      <w:lvlText w:val="o"/>
      <w:lvlJc w:val="left"/>
      <w:pPr>
        <w:ind w:left="1459" w:hanging="360"/>
      </w:pPr>
      <w:rPr>
        <w:rFonts w:ascii="Courier New" w:hAnsi="Courier New" w:cs="Courier New" w:hint="default"/>
      </w:rPr>
    </w:lvl>
    <w:lvl w:ilvl="2" w:tplc="04090005" w:tentative="1">
      <w:start w:val="1"/>
      <w:numFmt w:val="bullet"/>
      <w:lvlText w:val=""/>
      <w:lvlJc w:val="left"/>
      <w:pPr>
        <w:ind w:left="2179" w:hanging="360"/>
      </w:pPr>
      <w:rPr>
        <w:rFonts w:ascii="Wingdings" w:hAnsi="Wingdings" w:hint="default"/>
      </w:rPr>
    </w:lvl>
    <w:lvl w:ilvl="3" w:tplc="04090001" w:tentative="1">
      <w:start w:val="1"/>
      <w:numFmt w:val="bullet"/>
      <w:lvlText w:val=""/>
      <w:lvlJc w:val="left"/>
      <w:pPr>
        <w:ind w:left="2899" w:hanging="360"/>
      </w:pPr>
      <w:rPr>
        <w:rFonts w:ascii="Symbol" w:hAnsi="Symbol" w:hint="default"/>
      </w:rPr>
    </w:lvl>
    <w:lvl w:ilvl="4" w:tplc="04090003" w:tentative="1">
      <w:start w:val="1"/>
      <w:numFmt w:val="bullet"/>
      <w:lvlText w:val="o"/>
      <w:lvlJc w:val="left"/>
      <w:pPr>
        <w:ind w:left="3619" w:hanging="360"/>
      </w:pPr>
      <w:rPr>
        <w:rFonts w:ascii="Courier New" w:hAnsi="Courier New" w:cs="Courier New" w:hint="default"/>
      </w:rPr>
    </w:lvl>
    <w:lvl w:ilvl="5" w:tplc="04090005" w:tentative="1">
      <w:start w:val="1"/>
      <w:numFmt w:val="bullet"/>
      <w:lvlText w:val=""/>
      <w:lvlJc w:val="left"/>
      <w:pPr>
        <w:ind w:left="4339" w:hanging="360"/>
      </w:pPr>
      <w:rPr>
        <w:rFonts w:ascii="Wingdings" w:hAnsi="Wingdings" w:hint="default"/>
      </w:rPr>
    </w:lvl>
    <w:lvl w:ilvl="6" w:tplc="04090001" w:tentative="1">
      <w:start w:val="1"/>
      <w:numFmt w:val="bullet"/>
      <w:lvlText w:val=""/>
      <w:lvlJc w:val="left"/>
      <w:pPr>
        <w:ind w:left="5059" w:hanging="360"/>
      </w:pPr>
      <w:rPr>
        <w:rFonts w:ascii="Symbol" w:hAnsi="Symbol" w:hint="default"/>
      </w:rPr>
    </w:lvl>
    <w:lvl w:ilvl="7" w:tplc="04090003" w:tentative="1">
      <w:start w:val="1"/>
      <w:numFmt w:val="bullet"/>
      <w:lvlText w:val="o"/>
      <w:lvlJc w:val="left"/>
      <w:pPr>
        <w:ind w:left="5779" w:hanging="360"/>
      </w:pPr>
      <w:rPr>
        <w:rFonts w:ascii="Courier New" w:hAnsi="Courier New" w:cs="Courier New" w:hint="default"/>
      </w:rPr>
    </w:lvl>
    <w:lvl w:ilvl="8" w:tplc="04090005" w:tentative="1">
      <w:start w:val="1"/>
      <w:numFmt w:val="bullet"/>
      <w:lvlText w:val=""/>
      <w:lvlJc w:val="left"/>
      <w:pPr>
        <w:ind w:left="6499" w:hanging="360"/>
      </w:pPr>
      <w:rPr>
        <w:rFonts w:ascii="Wingdings" w:hAnsi="Wingdings" w:hint="default"/>
      </w:rPr>
    </w:lvl>
  </w:abstractNum>
  <w:abstractNum w:abstractNumId="1" w15:restartNumberingAfterBreak="0">
    <w:nsid w:val="18093B01"/>
    <w:multiLevelType w:val="hybridMultilevel"/>
    <w:tmpl w:val="AE00D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02273D"/>
    <w:multiLevelType w:val="hybridMultilevel"/>
    <w:tmpl w:val="867A8666"/>
    <w:lvl w:ilvl="0" w:tplc="FFFFFFFF">
      <w:start w:val="1"/>
      <w:numFmt w:val="bullet"/>
      <w:lvlText w:val=""/>
      <w:lvlJc w:val="left"/>
      <w:pPr>
        <w:ind w:left="108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 w15:restartNumberingAfterBreak="0">
    <w:nsid w:val="1B9F68C5"/>
    <w:multiLevelType w:val="hybridMultilevel"/>
    <w:tmpl w:val="A43E697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EC7DDE"/>
    <w:multiLevelType w:val="hybridMultilevel"/>
    <w:tmpl w:val="CB9CA0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83A0019"/>
    <w:multiLevelType w:val="hybridMultilevel"/>
    <w:tmpl w:val="17E4FE48"/>
    <w:lvl w:ilvl="0" w:tplc="AFB071D4">
      <w:numFmt w:val="bullet"/>
      <w:lvlText w:val=""/>
      <w:lvlJc w:val="left"/>
      <w:pPr>
        <w:ind w:left="792" w:hanging="360"/>
      </w:pPr>
      <w:rPr>
        <w:rFonts w:ascii="Wingdings" w:eastAsia="Times New Roman" w:hAnsi="Wingdings" w:cs="Arial" w:hint="default"/>
        <w:sz w:val="20"/>
        <w:szCs w:val="20"/>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6" w15:restartNumberingAfterBreak="0">
    <w:nsid w:val="284632A5"/>
    <w:multiLevelType w:val="hybridMultilevel"/>
    <w:tmpl w:val="480C699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8B01057"/>
    <w:multiLevelType w:val="hybridMultilevel"/>
    <w:tmpl w:val="4A983C22"/>
    <w:lvl w:ilvl="0" w:tplc="AFB071D4">
      <w:numFmt w:val="bullet"/>
      <w:lvlText w:val=""/>
      <w:lvlJc w:val="left"/>
      <w:pPr>
        <w:ind w:left="792" w:hanging="360"/>
      </w:pPr>
      <w:rPr>
        <w:rFonts w:ascii="Wingdings" w:eastAsia="Times New Roman" w:hAnsi="Wingdings" w:cs="Arial" w:hint="default"/>
        <w:sz w:val="20"/>
        <w:szCs w:val="20"/>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8" w15:restartNumberingAfterBreak="0">
    <w:nsid w:val="2B72626B"/>
    <w:multiLevelType w:val="hybridMultilevel"/>
    <w:tmpl w:val="90F826A2"/>
    <w:lvl w:ilvl="0" w:tplc="FFFFFFFF">
      <w:start w:val="1"/>
      <w:numFmt w:val="bullet"/>
      <w:lvlText w:val=""/>
      <w:lvlJc w:val="left"/>
      <w:pPr>
        <w:ind w:left="108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9" w15:restartNumberingAfterBreak="0">
    <w:nsid w:val="2E890A28"/>
    <w:multiLevelType w:val="hybridMultilevel"/>
    <w:tmpl w:val="91AE250E"/>
    <w:lvl w:ilvl="0" w:tplc="0CD83458">
      <w:numFmt w:val="bullet"/>
      <w:lvlText w:val=""/>
      <w:lvlJc w:val="left"/>
      <w:pPr>
        <w:tabs>
          <w:tab w:val="num" w:pos="1230"/>
        </w:tabs>
        <w:ind w:left="1230" w:hanging="360"/>
      </w:pPr>
      <w:rPr>
        <w:rFonts w:ascii="Wingdings" w:eastAsia="Times New Roman" w:hAnsi="Wingdings" w:cs="Arial" w:hint="default"/>
        <w:sz w:val="20"/>
        <w:szCs w:val="20"/>
      </w:rPr>
    </w:lvl>
    <w:lvl w:ilvl="1" w:tplc="04090003" w:tentative="1">
      <w:start w:val="1"/>
      <w:numFmt w:val="bullet"/>
      <w:lvlText w:val="o"/>
      <w:lvlJc w:val="left"/>
      <w:pPr>
        <w:tabs>
          <w:tab w:val="num" w:pos="1875"/>
        </w:tabs>
        <w:ind w:left="1875" w:hanging="360"/>
      </w:pPr>
      <w:rPr>
        <w:rFonts w:ascii="Courier New" w:hAnsi="Courier New" w:cs="Courier New" w:hint="default"/>
      </w:rPr>
    </w:lvl>
    <w:lvl w:ilvl="2" w:tplc="04090005" w:tentative="1">
      <w:start w:val="1"/>
      <w:numFmt w:val="bullet"/>
      <w:lvlText w:val=""/>
      <w:lvlJc w:val="left"/>
      <w:pPr>
        <w:tabs>
          <w:tab w:val="num" w:pos="2595"/>
        </w:tabs>
        <w:ind w:left="2595" w:hanging="360"/>
      </w:pPr>
      <w:rPr>
        <w:rFonts w:ascii="Wingdings" w:hAnsi="Wingdings" w:hint="default"/>
      </w:rPr>
    </w:lvl>
    <w:lvl w:ilvl="3" w:tplc="04090001" w:tentative="1">
      <w:start w:val="1"/>
      <w:numFmt w:val="bullet"/>
      <w:lvlText w:val=""/>
      <w:lvlJc w:val="left"/>
      <w:pPr>
        <w:tabs>
          <w:tab w:val="num" w:pos="3315"/>
        </w:tabs>
        <w:ind w:left="3315" w:hanging="360"/>
      </w:pPr>
      <w:rPr>
        <w:rFonts w:ascii="Symbol" w:hAnsi="Symbol" w:hint="default"/>
      </w:rPr>
    </w:lvl>
    <w:lvl w:ilvl="4" w:tplc="04090003" w:tentative="1">
      <w:start w:val="1"/>
      <w:numFmt w:val="bullet"/>
      <w:lvlText w:val="o"/>
      <w:lvlJc w:val="left"/>
      <w:pPr>
        <w:tabs>
          <w:tab w:val="num" w:pos="4035"/>
        </w:tabs>
        <w:ind w:left="4035" w:hanging="360"/>
      </w:pPr>
      <w:rPr>
        <w:rFonts w:ascii="Courier New" w:hAnsi="Courier New" w:cs="Courier New" w:hint="default"/>
      </w:rPr>
    </w:lvl>
    <w:lvl w:ilvl="5" w:tplc="04090005" w:tentative="1">
      <w:start w:val="1"/>
      <w:numFmt w:val="bullet"/>
      <w:lvlText w:val=""/>
      <w:lvlJc w:val="left"/>
      <w:pPr>
        <w:tabs>
          <w:tab w:val="num" w:pos="4755"/>
        </w:tabs>
        <w:ind w:left="4755" w:hanging="360"/>
      </w:pPr>
      <w:rPr>
        <w:rFonts w:ascii="Wingdings" w:hAnsi="Wingdings" w:hint="default"/>
      </w:rPr>
    </w:lvl>
    <w:lvl w:ilvl="6" w:tplc="04090001" w:tentative="1">
      <w:start w:val="1"/>
      <w:numFmt w:val="bullet"/>
      <w:lvlText w:val=""/>
      <w:lvlJc w:val="left"/>
      <w:pPr>
        <w:tabs>
          <w:tab w:val="num" w:pos="5475"/>
        </w:tabs>
        <w:ind w:left="5475" w:hanging="360"/>
      </w:pPr>
      <w:rPr>
        <w:rFonts w:ascii="Symbol" w:hAnsi="Symbol" w:hint="default"/>
      </w:rPr>
    </w:lvl>
    <w:lvl w:ilvl="7" w:tplc="04090003" w:tentative="1">
      <w:start w:val="1"/>
      <w:numFmt w:val="bullet"/>
      <w:lvlText w:val="o"/>
      <w:lvlJc w:val="left"/>
      <w:pPr>
        <w:tabs>
          <w:tab w:val="num" w:pos="6195"/>
        </w:tabs>
        <w:ind w:left="6195" w:hanging="360"/>
      </w:pPr>
      <w:rPr>
        <w:rFonts w:ascii="Courier New" w:hAnsi="Courier New" w:cs="Courier New" w:hint="default"/>
      </w:rPr>
    </w:lvl>
    <w:lvl w:ilvl="8" w:tplc="04090005" w:tentative="1">
      <w:start w:val="1"/>
      <w:numFmt w:val="bullet"/>
      <w:lvlText w:val=""/>
      <w:lvlJc w:val="left"/>
      <w:pPr>
        <w:tabs>
          <w:tab w:val="num" w:pos="6915"/>
        </w:tabs>
        <w:ind w:left="6915" w:hanging="360"/>
      </w:pPr>
      <w:rPr>
        <w:rFonts w:ascii="Wingdings" w:hAnsi="Wingdings" w:hint="default"/>
      </w:rPr>
    </w:lvl>
  </w:abstractNum>
  <w:abstractNum w:abstractNumId="10" w15:restartNumberingAfterBreak="0">
    <w:nsid w:val="33DF33A1"/>
    <w:multiLevelType w:val="hybridMultilevel"/>
    <w:tmpl w:val="CF187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6F221BE"/>
    <w:multiLevelType w:val="hybridMultilevel"/>
    <w:tmpl w:val="42AC1A3E"/>
    <w:lvl w:ilvl="0" w:tplc="28F0D7B0">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B3E6F8E"/>
    <w:multiLevelType w:val="hybridMultilevel"/>
    <w:tmpl w:val="700E3A6A"/>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4139785F"/>
    <w:multiLevelType w:val="hybridMultilevel"/>
    <w:tmpl w:val="677088FE"/>
    <w:lvl w:ilvl="0" w:tplc="0FCAFB9C">
      <w:numFmt w:val="bullet"/>
      <w:lvlText w:val=""/>
      <w:lvlJc w:val="left"/>
      <w:pPr>
        <w:tabs>
          <w:tab w:val="num" w:pos="795"/>
        </w:tabs>
        <w:ind w:left="795" w:hanging="360"/>
      </w:pPr>
      <w:rPr>
        <w:rFonts w:ascii="Wingdings" w:eastAsia="Times New Roman" w:hAnsi="Wingdings" w:cs="Arial" w:hint="default"/>
        <w:sz w:val="20"/>
        <w:szCs w:val="20"/>
      </w:rPr>
    </w:lvl>
    <w:lvl w:ilvl="1" w:tplc="04090003" w:tentative="1">
      <w:start w:val="1"/>
      <w:numFmt w:val="bullet"/>
      <w:lvlText w:val="o"/>
      <w:lvlJc w:val="left"/>
      <w:pPr>
        <w:tabs>
          <w:tab w:val="num" w:pos="1515"/>
        </w:tabs>
        <w:ind w:left="1515" w:hanging="360"/>
      </w:pPr>
      <w:rPr>
        <w:rFonts w:ascii="Courier New" w:hAnsi="Courier New" w:cs="Courier New" w:hint="default"/>
      </w:rPr>
    </w:lvl>
    <w:lvl w:ilvl="2" w:tplc="04090005" w:tentative="1">
      <w:start w:val="1"/>
      <w:numFmt w:val="bullet"/>
      <w:lvlText w:val=""/>
      <w:lvlJc w:val="left"/>
      <w:pPr>
        <w:tabs>
          <w:tab w:val="num" w:pos="2235"/>
        </w:tabs>
        <w:ind w:left="2235" w:hanging="360"/>
      </w:pPr>
      <w:rPr>
        <w:rFonts w:ascii="Wingdings" w:hAnsi="Wingdings" w:hint="default"/>
      </w:rPr>
    </w:lvl>
    <w:lvl w:ilvl="3" w:tplc="04090001" w:tentative="1">
      <w:start w:val="1"/>
      <w:numFmt w:val="bullet"/>
      <w:lvlText w:val=""/>
      <w:lvlJc w:val="left"/>
      <w:pPr>
        <w:tabs>
          <w:tab w:val="num" w:pos="2955"/>
        </w:tabs>
        <w:ind w:left="2955" w:hanging="360"/>
      </w:pPr>
      <w:rPr>
        <w:rFonts w:ascii="Symbol" w:hAnsi="Symbol" w:hint="default"/>
      </w:rPr>
    </w:lvl>
    <w:lvl w:ilvl="4" w:tplc="04090003" w:tentative="1">
      <w:start w:val="1"/>
      <w:numFmt w:val="bullet"/>
      <w:lvlText w:val="o"/>
      <w:lvlJc w:val="left"/>
      <w:pPr>
        <w:tabs>
          <w:tab w:val="num" w:pos="3675"/>
        </w:tabs>
        <w:ind w:left="3675" w:hanging="360"/>
      </w:pPr>
      <w:rPr>
        <w:rFonts w:ascii="Courier New" w:hAnsi="Courier New" w:cs="Courier New" w:hint="default"/>
      </w:rPr>
    </w:lvl>
    <w:lvl w:ilvl="5" w:tplc="04090005" w:tentative="1">
      <w:start w:val="1"/>
      <w:numFmt w:val="bullet"/>
      <w:lvlText w:val=""/>
      <w:lvlJc w:val="left"/>
      <w:pPr>
        <w:tabs>
          <w:tab w:val="num" w:pos="4395"/>
        </w:tabs>
        <w:ind w:left="4395" w:hanging="360"/>
      </w:pPr>
      <w:rPr>
        <w:rFonts w:ascii="Wingdings" w:hAnsi="Wingdings" w:hint="default"/>
      </w:rPr>
    </w:lvl>
    <w:lvl w:ilvl="6" w:tplc="04090001" w:tentative="1">
      <w:start w:val="1"/>
      <w:numFmt w:val="bullet"/>
      <w:lvlText w:val=""/>
      <w:lvlJc w:val="left"/>
      <w:pPr>
        <w:tabs>
          <w:tab w:val="num" w:pos="5115"/>
        </w:tabs>
        <w:ind w:left="5115" w:hanging="360"/>
      </w:pPr>
      <w:rPr>
        <w:rFonts w:ascii="Symbol" w:hAnsi="Symbol" w:hint="default"/>
      </w:rPr>
    </w:lvl>
    <w:lvl w:ilvl="7" w:tplc="04090003" w:tentative="1">
      <w:start w:val="1"/>
      <w:numFmt w:val="bullet"/>
      <w:lvlText w:val="o"/>
      <w:lvlJc w:val="left"/>
      <w:pPr>
        <w:tabs>
          <w:tab w:val="num" w:pos="5835"/>
        </w:tabs>
        <w:ind w:left="5835" w:hanging="360"/>
      </w:pPr>
      <w:rPr>
        <w:rFonts w:ascii="Courier New" w:hAnsi="Courier New" w:cs="Courier New" w:hint="default"/>
      </w:rPr>
    </w:lvl>
    <w:lvl w:ilvl="8" w:tplc="04090005" w:tentative="1">
      <w:start w:val="1"/>
      <w:numFmt w:val="bullet"/>
      <w:lvlText w:val=""/>
      <w:lvlJc w:val="left"/>
      <w:pPr>
        <w:tabs>
          <w:tab w:val="num" w:pos="6555"/>
        </w:tabs>
        <w:ind w:left="6555" w:hanging="360"/>
      </w:pPr>
      <w:rPr>
        <w:rFonts w:ascii="Wingdings" w:hAnsi="Wingdings" w:hint="default"/>
      </w:rPr>
    </w:lvl>
  </w:abstractNum>
  <w:abstractNum w:abstractNumId="14" w15:restartNumberingAfterBreak="0">
    <w:nsid w:val="4227255F"/>
    <w:multiLevelType w:val="hybridMultilevel"/>
    <w:tmpl w:val="B2A2A7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435C68E0"/>
    <w:multiLevelType w:val="hybridMultilevel"/>
    <w:tmpl w:val="3E443F1A"/>
    <w:lvl w:ilvl="0" w:tplc="3AE86A9C">
      <w:start w:val="1"/>
      <w:numFmt w:val="bullet"/>
      <w:lvlText w:val=""/>
      <w:lvlJc w:val="left"/>
      <w:pPr>
        <w:ind w:left="1459" w:hanging="360"/>
      </w:pPr>
      <w:rPr>
        <w:rFonts w:ascii="Wingdings" w:hAnsi="Wingdings" w:hint="default"/>
        <w:sz w:val="18"/>
      </w:rPr>
    </w:lvl>
    <w:lvl w:ilvl="1" w:tplc="04090003" w:tentative="1">
      <w:start w:val="1"/>
      <w:numFmt w:val="bullet"/>
      <w:lvlText w:val="o"/>
      <w:lvlJc w:val="left"/>
      <w:pPr>
        <w:ind w:left="2179" w:hanging="360"/>
      </w:pPr>
      <w:rPr>
        <w:rFonts w:ascii="Courier New" w:hAnsi="Courier New" w:cs="Courier New" w:hint="default"/>
      </w:rPr>
    </w:lvl>
    <w:lvl w:ilvl="2" w:tplc="04090005" w:tentative="1">
      <w:start w:val="1"/>
      <w:numFmt w:val="bullet"/>
      <w:lvlText w:val=""/>
      <w:lvlJc w:val="left"/>
      <w:pPr>
        <w:ind w:left="2899" w:hanging="360"/>
      </w:pPr>
      <w:rPr>
        <w:rFonts w:ascii="Wingdings" w:hAnsi="Wingdings" w:hint="default"/>
      </w:rPr>
    </w:lvl>
    <w:lvl w:ilvl="3" w:tplc="04090001" w:tentative="1">
      <w:start w:val="1"/>
      <w:numFmt w:val="bullet"/>
      <w:lvlText w:val=""/>
      <w:lvlJc w:val="left"/>
      <w:pPr>
        <w:ind w:left="3619" w:hanging="360"/>
      </w:pPr>
      <w:rPr>
        <w:rFonts w:ascii="Symbol" w:hAnsi="Symbol" w:hint="default"/>
      </w:rPr>
    </w:lvl>
    <w:lvl w:ilvl="4" w:tplc="04090003" w:tentative="1">
      <w:start w:val="1"/>
      <w:numFmt w:val="bullet"/>
      <w:lvlText w:val="o"/>
      <w:lvlJc w:val="left"/>
      <w:pPr>
        <w:ind w:left="4339" w:hanging="360"/>
      </w:pPr>
      <w:rPr>
        <w:rFonts w:ascii="Courier New" w:hAnsi="Courier New" w:cs="Courier New" w:hint="default"/>
      </w:rPr>
    </w:lvl>
    <w:lvl w:ilvl="5" w:tplc="04090005" w:tentative="1">
      <w:start w:val="1"/>
      <w:numFmt w:val="bullet"/>
      <w:lvlText w:val=""/>
      <w:lvlJc w:val="left"/>
      <w:pPr>
        <w:ind w:left="5059" w:hanging="360"/>
      </w:pPr>
      <w:rPr>
        <w:rFonts w:ascii="Wingdings" w:hAnsi="Wingdings" w:hint="default"/>
      </w:rPr>
    </w:lvl>
    <w:lvl w:ilvl="6" w:tplc="04090001" w:tentative="1">
      <w:start w:val="1"/>
      <w:numFmt w:val="bullet"/>
      <w:lvlText w:val=""/>
      <w:lvlJc w:val="left"/>
      <w:pPr>
        <w:ind w:left="5779" w:hanging="360"/>
      </w:pPr>
      <w:rPr>
        <w:rFonts w:ascii="Symbol" w:hAnsi="Symbol" w:hint="default"/>
      </w:rPr>
    </w:lvl>
    <w:lvl w:ilvl="7" w:tplc="04090003" w:tentative="1">
      <w:start w:val="1"/>
      <w:numFmt w:val="bullet"/>
      <w:lvlText w:val="o"/>
      <w:lvlJc w:val="left"/>
      <w:pPr>
        <w:ind w:left="6499" w:hanging="360"/>
      </w:pPr>
      <w:rPr>
        <w:rFonts w:ascii="Courier New" w:hAnsi="Courier New" w:cs="Courier New" w:hint="default"/>
      </w:rPr>
    </w:lvl>
    <w:lvl w:ilvl="8" w:tplc="04090005" w:tentative="1">
      <w:start w:val="1"/>
      <w:numFmt w:val="bullet"/>
      <w:lvlText w:val=""/>
      <w:lvlJc w:val="left"/>
      <w:pPr>
        <w:ind w:left="7219" w:hanging="360"/>
      </w:pPr>
      <w:rPr>
        <w:rFonts w:ascii="Wingdings" w:hAnsi="Wingdings" w:hint="default"/>
      </w:rPr>
    </w:lvl>
  </w:abstractNum>
  <w:abstractNum w:abstractNumId="16" w15:restartNumberingAfterBreak="0">
    <w:nsid w:val="44442590"/>
    <w:multiLevelType w:val="hybridMultilevel"/>
    <w:tmpl w:val="9B046EF4"/>
    <w:lvl w:ilvl="0" w:tplc="3AE86A9C">
      <w:start w:val="1"/>
      <w:numFmt w:val="bullet"/>
      <w:lvlText w:val=""/>
      <w:lvlJc w:val="left"/>
      <w:pPr>
        <w:tabs>
          <w:tab w:val="num" w:pos="720"/>
        </w:tabs>
        <w:ind w:left="720" w:hanging="360"/>
      </w:pPr>
      <w:rPr>
        <w:rFonts w:ascii="Wingdings" w:hAnsi="Wingdings" w:hint="default"/>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4DA23D8"/>
    <w:multiLevelType w:val="hybridMultilevel"/>
    <w:tmpl w:val="BEF08E34"/>
    <w:lvl w:ilvl="0" w:tplc="C68ED5F6">
      <w:numFmt w:val="bullet"/>
      <w:lvlText w:val=""/>
      <w:lvlJc w:val="left"/>
      <w:pPr>
        <w:tabs>
          <w:tab w:val="num" w:pos="795"/>
        </w:tabs>
        <w:ind w:left="795" w:hanging="360"/>
      </w:pPr>
      <w:rPr>
        <w:rFonts w:ascii="Wingdings" w:eastAsia="Times New Roman" w:hAnsi="Wingdings" w:cs="Aria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639495F"/>
    <w:multiLevelType w:val="hybridMultilevel"/>
    <w:tmpl w:val="2500E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87D2D4A"/>
    <w:multiLevelType w:val="hybridMultilevel"/>
    <w:tmpl w:val="59A6C9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AEC0EA8"/>
    <w:multiLevelType w:val="hybridMultilevel"/>
    <w:tmpl w:val="FBE0818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4E780B7F"/>
    <w:multiLevelType w:val="hybridMultilevel"/>
    <w:tmpl w:val="4D869058"/>
    <w:lvl w:ilvl="0" w:tplc="3AE86A9C">
      <w:start w:val="1"/>
      <w:numFmt w:val="bullet"/>
      <w:lvlText w:val=""/>
      <w:lvlJc w:val="left"/>
      <w:pPr>
        <w:tabs>
          <w:tab w:val="num" w:pos="720"/>
        </w:tabs>
        <w:ind w:left="720" w:hanging="360"/>
      </w:pPr>
      <w:rPr>
        <w:rFonts w:ascii="Wingdings" w:hAnsi="Wingdings" w:hint="default"/>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0FD449C"/>
    <w:multiLevelType w:val="hybridMultilevel"/>
    <w:tmpl w:val="B7AA837A"/>
    <w:lvl w:ilvl="0" w:tplc="69405270">
      <w:numFmt w:val="bullet"/>
      <w:lvlText w:val=""/>
      <w:lvlJc w:val="left"/>
      <w:pPr>
        <w:tabs>
          <w:tab w:val="num" w:pos="1230"/>
        </w:tabs>
        <w:ind w:left="1230" w:hanging="360"/>
      </w:pPr>
      <w:rPr>
        <w:rFonts w:ascii="Wingdings" w:eastAsia="Times New Roman" w:hAnsi="Wingdings" w:cs="Arial" w:hint="default"/>
      </w:rPr>
    </w:lvl>
    <w:lvl w:ilvl="1" w:tplc="04090003" w:tentative="1">
      <w:start w:val="1"/>
      <w:numFmt w:val="bullet"/>
      <w:lvlText w:val="o"/>
      <w:lvlJc w:val="left"/>
      <w:pPr>
        <w:tabs>
          <w:tab w:val="num" w:pos="1875"/>
        </w:tabs>
        <w:ind w:left="1875" w:hanging="360"/>
      </w:pPr>
      <w:rPr>
        <w:rFonts w:ascii="Courier New" w:hAnsi="Courier New" w:cs="Courier New" w:hint="default"/>
      </w:rPr>
    </w:lvl>
    <w:lvl w:ilvl="2" w:tplc="04090005" w:tentative="1">
      <w:start w:val="1"/>
      <w:numFmt w:val="bullet"/>
      <w:lvlText w:val=""/>
      <w:lvlJc w:val="left"/>
      <w:pPr>
        <w:tabs>
          <w:tab w:val="num" w:pos="2595"/>
        </w:tabs>
        <w:ind w:left="2595" w:hanging="360"/>
      </w:pPr>
      <w:rPr>
        <w:rFonts w:ascii="Wingdings" w:hAnsi="Wingdings" w:hint="default"/>
      </w:rPr>
    </w:lvl>
    <w:lvl w:ilvl="3" w:tplc="04090001" w:tentative="1">
      <w:start w:val="1"/>
      <w:numFmt w:val="bullet"/>
      <w:lvlText w:val=""/>
      <w:lvlJc w:val="left"/>
      <w:pPr>
        <w:tabs>
          <w:tab w:val="num" w:pos="3315"/>
        </w:tabs>
        <w:ind w:left="3315" w:hanging="360"/>
      </w:pPr>
      <w:rPr>
        <w:rFonts w:ascii="Symbol" w:hAnsi="Symbol" w:hint="default"/>
      </w:rPr>
    </w:lvl>
    <w:lvl w:ilvl="4" w:tplc="04090003" w:tentative="1">
      <w:start w:val="1"/>
      <w:numFmt w:val="bullet"/>
      <w:lvlText w:val="o"/>
      <w:lvlJc w:val="left"/>
      <w:pPr>
        <w:tabs>
          <w:tab w:val="num" w:pos="4035"/>
        </w:tabs>
        <w:ind w:left="4035" w:hanging="360"/>
      </w:pPr>
      <w:rPr>
        <w:rFonts w:ascii="Courier New" w:hAnsi="Courier New" w:cs="Courier New" w:hint="default"/>
      </w:rPr>
    </w:lvl>
    <w:lvl w:ilvl="5" w:tplc="04090005" w:tentative="1">
      <w:start w:val="1"/>
      <w:numFmt w:val="bullet"/>
      <w:lvlText w:val=""/>
      <w:lvlJc w:val="left"/>
      <w:pPr>
        <w:tabs>
          <w:tab w:val="num" w:pos="4755"/>
        </w:tabs>
        <w:ind w:left="4755" w:hanging="360"/>
      </w:pPr>
      <w:rPr>
        <w:rFonts w:ascii="Wingdings" w:hAnsi="Wingdings" w:hint="default"/>
      </w:rPr>
    </w:lvl>
    <w:lvl w:ilvl="6" w:tplc="04090001" w:tentative="1">
      <w:start w:val="1"/>
      <w:numFmt w:val="bullet"/>
      <w:lvlText w:val=""/>
      <w:lvlJc w:val="left"/>
      <w:pPr>
        <w:tabs>
          <w:tab w:val="num" w:pos="5475"/>
        </w:tabs>
        <w:ind w:left="5475" w:hanging="360"/>
      </w:pPr>
      <w:rPr>
        <w:rFonts w:ascii="Symbol" w:hAnsi="Symbol" w:hint="default"/>
      </w:rPr>
    </w:lvl>
    <w:lvl w:ilvl="7" w:tplc="04090003" w:tentative="1">
      <w:start w:val="1"/>
      <w:numFmt w:val="bullet"/>
      <w:lvlText w:val="o"/>
      <w:lvlJc w:val="left"/>
      <w:pPr>
        <w:tabs>
          <w:tab w:val="num" w:pos="6195"/>
        </w:tabs>
        <w:ind w:left="6195" w:hanging="360"/>
      </w:pPr>
      <w:rPr>
        <w:rFonts w:ascii="Courier New" w:hAnsi="Courier New" w:cs="Courier New" w:hint="default"/>
      </w:rPr>
    </w:lvl>
    <w:lvl w:ilvl="8" w:tplc="04090005" w:tentative="1">
      <w:start w:val="1"/>
      <w:numFmt w:val="bullet"/>
      <w:lvlText w:val=""/>
      <w:lvlJc w:val="left"/>
      <w:pPr>
        <w:tabs>
          <w:tab w:val="num" w:pos="6915"/>
        </w:tabs>
        <w:ind w:left="6915" w:hanging="360"/>
      </w:pPr>
      <w:rPr>
        <w:rFonts w:ascii="Wingdings" w:hAnsi="Wingdings" w:hint="default"/>
      </w:rPr>
    </w:lvl>
  </w:abstractNum>
  <w:abstractNum w:abstractNumId="23" w15:restartNumberingAfterBreak="0">
    <w:nsid w:val="5535237C"/>
    <w:multiLevelType w:val="hybridMultilevel"/>
    <w:tmpl w:val="16D068FA"/>
    <w:lvl w:ilvl="0" w:tplc="04090003">
      <w:start w:val="1"/>
      <w:numFmt w:val="bullet"/>
      <w:lvlText w:val="o"/>
      <w:lvlJc w:val="left"/>
      <w:pPr>
        <w:ind w:left="1440" w:hanging="360"/>
      </w:pPr>
      <w:rPr>
        <w:rFonts w:ascii="Courier New" w:hAnsi="Courier New" w:cs="Courier New" w:hint="default"/>
      </w:rPr>
    </w:lvl>
    <w:lvl w:ilvl="1" w:tplc="FFFFFFFF">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24" w15:restartNumberingAfterBreak="0">
    <w:nsid w:val="5A2052E2"/>
    <w:multiLevelType w:val="hybridMultilevel"/>
    <w:tmpl w:val="DD9A16D4"/>
    <w:lvl w:ilvl="0" w:tplc="3AE86A9C">
      <w:start w:val="1"/>
      <w:numFmt w:val="bullet"/>
      <w:lvlText w:val=""/>
      <w:lvlJc w:val="left"/>
      <w:pPr>
        <w:tabs>
          <w:tab w:val="num" w:pos="720"/>
        </w:tabs>
        <w:ind w:left="720" w:hanging="360"/>
      </w:pPr>
      <w:rPr>
        <w:rFonts w:ascii="Wingdings" w:hAnsi="Wingdings" w:hint="default"/>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F9B62E5"/>
    <w:multiLevelType w:val="hybridMultilevel"/>
    <w:tmpl w:val="194A8326"/>
    <w:lvl w:ilvl="0" w:tplc="A87E7282">
      <w:numFmt w:val="bullet"/>
      <w:lvlText w:val=""/>
      <w:lvlJc w:val="left"/>
      <w:pPr>
        <w:tabs>
          <w:tab w:val="num" w:pos="795"/>
        </w:tabs>
        <w:ind w:left="795" w:hanging="360"/>
      </w:pPr>
      <w:rPr>
        <w:rFonts w:ascii="Wingdings" w:eastAsia="Times New Roman" w:hAnsi="Wingdings" w:cs="Arial" w:hint="default"/>
        <w:sz w:val="20"/>
        <w:szCs w:val="20"/>
      </w:rPr>
    </w:lvl>
    <w:lvl w:ilvl="1" w:tplc="04090003" w:tentative="1">
      <w:start w:val="1"/>
      <w:numFmt w:val="bullet"/>
      <w:lvlText w:val="o"/>
      <w:lvlJc w:val="left"/>
      <w:pPr>
        <w:tabs>
          <w:tab w:val="num" w:pos="1515"/>
        </w:tabs>
        <w:ind w:left="1515" w:hanging="360"/>
      </w:pPr>
      <w:rPr>
        <w:rFonts w:ascii="Courier New" w:hAnsi="Courier New" w:cs="Courier New" w:hint="default"/>
      </w:rPr>
    </w:lvl>
    <w:lvl w:ilvl="2" w:tplc="04090005" w:tentative="1">
      <w:start w:val="1"/>
      <w:numFmt w:val="bullet"/>
      <w:lvlText w:val=""/>
      <w:lvlJc w:val="left"/>
      <w:pPr>
        <w:tabs>
          <w:tab w:val="num" w:pos="2235"/>
        </w:tabs>
        <w:ind w:left="2235" w:hanging="360"/>
      </w:pPr>
      <w:rPr>
        <w:rFonts w:ascii="Wingdings" w:hAnsi="Wingdings" w:hint="default"/>
      </w:rPr>
    </w:lvl>
    <w:lvl w:ilvl="3" w:tplc="04090001" w:tentative="1">
      <w:start w:val="1"/>
      <w:numFmt w:val="bullet"/>
      <w:lvlText w:val=""/>
      <w:lvlJc w:val="left"/>
      <w:pPr>
        <w:tabs>
          <w:tab w:val="num" w:pos="2955"/>
        </w:tabs>
        <w:ind w:left="2955" w:hanging="360"/>
      </w:pPr>
      <w:rPr>
        <w:rFonts w:ascii="Symbol" w:hAnsi="Symbol" w:hint="default"/>
      </w:rPr>
    </w:lvl>
    <w:lvl w:ilvl="4" w:tplc="04090003" w:tentative="1">
      <w:start w:val="1"/>
      <w:numFmt w:val="bullet"/>
      <w:lvlText w:val="o"/>
      <w:lvlJc w:val="left"/>
      <w:pPr>
        <w:tabs>
          <w:tab w:val="num" w:pos="3675"/>
        </w:tabs>
        <w:ind w:left="3675" w:hanging="360"/>
      </w:pPr>
      <w:rPr>
        <w:rFonts w:ascii="Courier New" w:hAnsi="Courier New" w:cs="Courier New" w:hint="default"/>
      </w:rPr>
    </w:lvl>
    <w:lvl w:ilvl="5" w:tplc="04090005" w:tentative="1">
      <w:start w:val="1"/>
      <w:numFmt w:val="bullet"/>
      <w:lvlText w:val=""/>
      <w:lvlJc w:val="left"/>
      <w:pPr>
        <w:tabs>
          <w:tab w:val="num" w:pos="4395"/>
        </w:tabs>
        <w:ind w:left="4395" w:hanging="360"/>
      </w:pPr>
      <w:rPr>
        <w:rFonts w:ascii="Wingdings" w:hAnsi="Wingdings" w:hint="default"/>
      </w:rPr>
    </w:lvl>
    <w:lvl w:ilvl="6" w:tplc="04090001" w:tentative="1">
      <w:start w:val="1"/>
      <w:numFmt w:val="bullet"/>
      <w:lvlText w:val=""/>
      <w:lvlJc w:val="left"/>
      <w:pPr>
        <w:tabs>
          <w:tab w:val="num" w:pos="5115"/>
        </w:tabs>
        <w:ind w:left="5115" w:hanging="360"/>
      </w:pPr>
      <w:rPr>
        <w:rFonts w:ascii="Symbol" w:hAnsi="Symbol" w:hint="default"/>
      </w:rPr>
    </w:lvl>
    <w:lvl w:ilvl="7" w:tplc="04090003" w:tentative="1">
      <w:start w:val="1"/>
      <w:numFmt w:val="bullet"/>
      <w:lvlText w:val="o"/>
      <w:lvlJc w:val="left"/>
      <w:pPr>
        <w:tabs>
          <w:tab w:val="num" w:pos="5835"/>
        </w:tabs>
        <w:ind w:left="5835" w:hanging="360"/>
      </w:pPr>
      <w:rPr>
        <w:rFonts w:ascii="Courier New" w:hAnsi="Courier New" w:cs="Courier New" w:hint="default"/>
      </w:rPr>
    </w:lvl>
    <w:lvl w:ilvl="8" w:tplc="04090005" w:tentative="1">
      <w:start w:val="1"/>
      <w:numFmt w:val="bullet"/>
      <w:lvlText w:val=""/>
      <w:lvlJc w:val="left"/>
      <w:pPr>
        <w:tabs>
          <w:tab w:val="num" w:pos="6555"/>
        </w:tabs>
        <w:ind w:left="6555" w:hanging="360"/>
      </w:pPr>
      <w:rPr>
        <w:rFonts w:ascii="Wingdings" w:hAnsi="Wingdings" w:hint="default"/>
      </w:rPr>
    </w:lvl>
  </w:abstractNum>
  <w:abstractNum w:abstractNumId="26" w15:restartNumberingAfterBreak="0">
    <w:nsid w:val="72FA2A35"/>
    <w:multiLevelType w:val="hybridMultilevel"/>
    <w:tmpl w:val="EF0C655E"/>
    <w:lvl w:ilvl="0" w:tplc="A87E7282">
      <w:numFmt w:val="bullet"/>
      <w:lvlText w:val=""/>
      <w:lvlJc w:val="left"/>
      <w:pPr>
        <w:ind w:left="720" w:hanging="360"/>
      </w:pPr>
      <w:rPr>
        <w:rFonts w:ascii="Wingdings" w:eastAsia="Times New Roman" w:hAnsi="Wingdings" w:cs="Aria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7666057"/>
    <w:multiLevelType w:val="hybridMultilevel"/>
    <w:tmpl w:val="50E007EC"/>
    <w:lvl w:ilvl="0" w:tplc="3AE86A9C">
      <w:start w:val="1"/>
      <w:numFmt w:val="bullet"/>
      <w:lvlText w:val=""/>
      <w:lvlJc w:val="left"/>
      <w:pPr>
        <w:tabs>
          <w:tab w:val="num" w:pos="720"/>
        </w:tabs>
        <w:ind w:left="720" w:hanging="360"/>
      </w:pPr>
      <w:rPr>
        <w:rFonts w:ascii="Wingdings" w:hAnsi="Wingdings" w:hint="default"/>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8EE256A"/>
    <w:multiLevelType w:val="hybridMultilevel"/>
    <w:tmpl w:val="B3B6E8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7D11452B"/>
    <w:multiLevelType w:val="hybridMultilevel"/>
    <w:tmpl w:val="3FF408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E3471A1"/>
    <w:multiLevelType w:val="hybridMultilevel"/>
    <w:tmpl w:val="A38825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370648758">
    <w:abstractNumId w:val="25"/>
  </w:num>
  <w:num w:numId="2" w16cid:durableId="1459109385">
    <w:abstractNumId w:val="13"/>
  </w:num>
  <w:num w:numId="3" w16cid:durableId="485980354">
    <w:abstractNumId w:val="22"/>
  </w:num>
  <w:num w:numId="4" w16cid:durableId="27268707">
    <w:abstractNumId w:val="9"/>
  </w:num>
  <w:num w:numId="5" w16cid:durableId="468791902">
    <w:abstractNumId w:val="17"/>
  </w:num>
  <w:num w:numId="6" w16cid:durableId="146173152">
    <w:abstractNumId w:val="7"/>
  </w:num>
  <w:num w:numId="7" w16cid:durableId="487672927">
    <w:abstractNumId w:val="5"/>
  </w:num>
  <w:num w:numId="8" w16cid:durableId="448623861">
    <w:abstractNumId w:val="0"/>
  </w:num>
  <w:num w:numId="9" w16cid:durableId="975335432">
    <w:abstractNumId w:val="27"/>
  </w:num>
  <w:num w:numId="10" w16cid:durableId="560025742">
    <w:abstractNumId w:val="24"/>
  </w:num>
  <w:num w:numId="11" w16cid:durableId="281881515">
    <w:abstractNumId w:val="21"/>
  </w:num>
  <w:num w:numId="12" w16cid:durableId="160439267">
    <w:abstractNumId w:val="16"/>
  </w:num>
  <w:num w:numId="13" w16cid:durableId="308051207">
    <w:abstractNumId w:val="9"/>
  </w:num>
  <w:num w:numId="14" w16cid:durableId="1468858860">
    <w:abstractNumId w:val="15"/>
  </w:num>
  <w:num w:numId="15" w16cid:durableId="1673527489">
    <w:abstractNumId w:val="6"/>
  </w:num>
  <w:num w:numId="16" w16cid:durableId="417560315">
    <w:abstractNumId w:val="10"/>
  </w:num>
  <w:num w:numId="17" w16cid:durableId="1567649137">
    <w:abstractNumId w:val="23"/>
  </w:num>
  <w:num w:numId="18" w16cid:durableId="1761411087">
    <w:abstractNumId w:val="12"/>
  </w:num>
  <w:num w:numId="19" w16cid:durableId="1780025567">
    <w:abstractNumId w:val="2"/>
  </w:num>
  <w:num w:numId="20" w16cid:durableId="2056150050">
    <w:abstractNumId w:val="29"/>
  </w:num>
  <w:num w:numId="21" w16cid:durableId="995256740">
    <w:abstractNumId w:val="11"/>
  </w:num>
  <w:num w:numId="22" w16cid:durableId="23602868">
    <w:abstractNumId w:val="26"/>
  </w:num>
  <w:num w:numId="23" w16cid:durableId="2008484404">
    <w:abstractNumId w:val="28"/>
  </w:num>
  <w:num w:numId="24" w16cid:durableId="398795515">
    <w:abstractNumId w:val="14"/>
  </w:num>
  <w:num w:numId="25" w16cid:durableId="1019435075">
    <w:abstractNumId w:val="4"/>
  </w:num>
  <w:num w:numId="26" w16cid:durableId="1082331770">
    <w:abstractNumId w:val="20"/>
  </w:num>
  <w:num w:numId="27" w16cid:durableId="142159068">
    <w:abstractNumId w:val="8"/>
  </w:num>
  <w:num w:numId="28" w16cid:durableId="60774269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981151590">
    <w:abstractNumId w:val="3"/>
  </w:num>
  <w:num w:numId="30" w16cid:durableId="640890660">
    <w:abstractNumId w:val="18"/>
  </w:num>
  <w:num w:numId="31" w16cid:durableId="573593350">
    <w:abstractNumId w:val="19"/>
  </w:num>
  <w:num w:numId="32" w16cid:durableId="10057921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oNotTrackMove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333CC"/>
    <w:rsid w:val="00001450"/>
    <w:rsid w:val="00014F89"/>
    <w:rsid w:val="00081C3B"/>
    <w:rsid w:val="000B0A40"/>
    <w:rsid w:val="000C011C"/>
    <w:rsid w:val="000D5998"/>
    <w:rsid w:val="000F4499"/>
    <w:rsid w:val="00134418"/>
    <w:rsid w:val="00164DBB"/>
    <w:rsid w:val="001B7443"/>
    <w:rsid w:val="001C1957"/>
    <w:rsid w:val="00201B2C"/>
    <w:rsid w:val="00210358"/>
    <w:rsid w:val="002219C8"/>
    <w:rsid w:val="00232CA9"/>
    <w:rsid w:val="002365D5"/>
    <w:rsid w:val="00264549"/>
    <w:rsid w:val="00273249"/>
    <w:rsid w:val="002B16BE"/>
    <w:rsid w:val="002C745E"/>
    <w:rsid w:val="002D4482"/>
    <w:rsid w:val="00302915"/>
    <w:rsid w:val="003116B0"/>
    <w:rsid w:val="003411E9"/>
    <w:rsid w:val="003424B8"/>
    <w:rsid w:val="003623A1"/>
    <w:rsid w:val="00394A68"/>
    <w:rsid w:val="003B5569"/>
    <w:rsid w:val="004233FC"/>
    <w:rsid w:val="00456CF1"/>
    <w:rsid w:val="0048435A"/>
    <w:rsid w:val="00486457"/>
    <w:rsid w:val="004B2994"/>
    <w:rsid w:val="004C469C"/>
    <w:rsid w:val="004C69B4"/>
    <w:rsid w:val="004D0F43"/>
    <w:rsid w:val="0051011C"/>
    <w:rsid w:val="005265A4"/>
    <w:rsid w:val="00537C84"/>
    <w:rsid w:val="00543BD9"/>
    <w:rsid w:val="0054476A"/>
    <w:rsid w:val="00551999"/>
    <w:rsid w:val="005574BE"/>
    <w:rsid w:val="005930F4"/>
    <w:rsid w:val="005C19E6"/>
    <w:rsid w:val="005E2E55"/>
    <w:rsid w:val="005E376A"/>
    <w:rsid w:val="005F05E0"/>
    <w:rsid w:val="005F2790"/>
    <w:rsid w:val="005F4206"/>
    <w:rsid w:val="006429E0"/>
    <w:rsid w:val="0068046B"/>
    <w:rsid w:val="006908CA"/>
    <w:rsid w:val="006E4512"/>
    <w:rsid w:val="006E5789"/>
    <w:rsid w:val="006F08C6"/>
    <w:rsid w:val="00732B11"/>
    <w:rsid w:val="007512BC"/>
    <w:rsid w:val="00764A40"/>
    <w:rsid w:val="00773165"/>
    <w:rsid w:val="007E001B"/>
    <w:rsid w:val="00800B2A"/>
    <w:rsid w:val="00846905"/>
    <w:rsid w:val="008D42C5"/>
    <w:rsid w:val="008D66E9"/>
    <w:rsid w:val="008D6DED"/>
    <w:rsid w:val="008F59F5"/>
    <w:rsid w:val="00926345"/>
    <w:rsid w:val="00941736"/>
    <w:rsid w:val="00957EDF"/>
    <w:rsid w:val="00962183"/>
    <w:rsid w:val="009638C0"/>
    <w:rsid w:val="00A212BB"/>
    <w:rsid w:val="00A2267F"/>
    <w:rsid w:val="00A328D9"/>
    <w:rsid w:val="00A549B7"/>
    <w:rsid w:val="00A57872"/>
    <w:rsid w:val="00A96D85"/>
    <w:rsid w:val="00AE58A8"/>
    <w:rsid w:val="00B010AD"/>
    <w:rsid w:val="00B041C4"/>
    <w:rsid w:val="00B21A02"/>
    <w:rsid w:val="00B36C88"/>
    <w:rsid w:val="00B61090"/>
    <w:rsid w:val="00B85340"/>
    <w:rsid w:val="00B969D4"/>
    <w:rsid w:val="00BC4ACB"/>
    <w:rsid w:val="00BD5504"/>
    <w:rsid w:val="00C10933"/>
    <w:rsid w:val="00C138CB"/>
    <w:rsid w:val="00C432DC"/>
    <w:rsid w:val="00C64FF2"/>
    <w:rsid w:val="00C737A2"/>
    <w:rsid w:val="00CA1873"/>
    <w:rsid w:val="00CD0C48"/>
    <w:rsid w:val="00CE0CAC"/>
    <w:rsid w:val="00CF2865"/>
    <w:rsid w:val="00D04899"/>
    <w:rsid w:val="00D119BD"/>
    <w:rsid w:val="00D125BF"/>
    <w:rsid w:val="00D17532"/>
    <w:rsid w:val="00D228CF"/>
    <w:rsid w:val="00D34CA3"/>
    <w:rsid w:val="00DA6B14"/>
    <w:rsid w:val="00DD6327"/>
    <w:rsid w:val="00DE047C"/>
    <w:rsid w:val="00DE7876"/>
    <w:rsid w:val="00DF24E5"/>
    <w:rsid w:val="00E05E3B"/>
    <w:rsid w:val="00E333CC"/>
    <w:rsid w:val="00E37183"/>
    <w:rsid w:val="00E45032"/>
    <w:rsid w:val="00E5079E"/>
    <w:rsid w:val="00E65D8D"/>
    <w:rsid w:val="00E6642F"/>
    <w:rsid w:val="00E83371"/>
    <w:rsid w:val="00E97DCB"/>
    <w:rsid w:val="00EA2C9B"/>
    <w:rsid w:val="00EE11C6"/>
    <w:rsid w:val="00EF2DB6"/>
    <w:rsid w:val="00F35528"/>
    <w:rsid w:val="00FA64A4"/>
    <w:rsid w:val="00FB19E7"/>
    <w:rsid w:val="00FD03F1"/>
    <w:rsid w:val="00FE3172"/>
    <w:rsid w:val="00FE65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DF7FC7"/>
  <w15:chartTrackingRefBased/>
  <w15:docId w15:val="{5C28D92B-776A-4F80-86A2-8962BB40B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rPr>
  </w:style>
  <w:style w:type="paragraph" w:styleId="Heading1">
    <w:name w:val="heading 1"/>
    <w:basedOn w:val="Normal"/>
    <w:next w:val="Normal"/>
    <w:link w:val="Heading1Char"/>
    <w:qFormat/>
    <w:rsid w:val="00E333CC"/>
    <w:pPr>
      <w:keepNext/>
      <w:spacing w:before="240" w:after="60"/>
      <w:outlineLvl w:val="0"/>
    </w:pPr>
    <w:rPr>
      <w:rFonts w:ascii="Arial" w:eastAsia="Times New Roman"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E333CC"/>
    <w:rPr>
      <w:rFonts w:ascii="Arial" w:eastAsia="Times New Roman" w:hAnsi="Arial" w:cs="Arial"/>
      <w:b/>
      <w:bCs/>
      <w:kern w:val="32"/>
      <w:sz w:val="32"/>
      <w:szCs w:val="32"/>
    </w:rPr>
  </w:style>
  <w:style w:type="paragraph" w:styleId="BodyText">
    <w:name w:val="Body Text"/>
    <w:basedOn w:val="Normal"/>
    <w:link w:val="BodyTextChar"/>
    <w:rsid w:val="00E333CC"/>
    <w:rPr>
      <w:rFonts w:ascii="Arial" w:eastAsia="Times New Roman" w:hAnsi="Arial"/>
      <w:snapToGrid w:val="0"/>
      <w:szCs w:val="20"/>
    </w:rPr>
  </w:style>
  <w:style w:type="character" w:customStyle="1" w:styleId="BodyTextChar">
    <w:name w:val="Body Text Char"/>
    <w:link w:val="BodyText"/>
    <w:rsid w:val="00E333CC"/>
    <w:rPr>
      <w:rFonts w:ascii="Arial" w:eastAsia="Times New Roman" w:hAnsi="Arial"/>
      <w:snapToGrid w:val="0"/>
      <w:sz w:val="22"/>
    </w:rPr>
  </w:style>
  <w:style w:type="character" w:styleId="Hyperlink">
    <w:name w:val="Hyperlink"/>
    <w:rsid w:val="00E333CC"/>
    <w:rPr>
      <w:color w:val="0000FF"/>
      <w:u w:val="single"/>
    </w:rPr>
  </w:style>
  <w:style w:type="paragraph" w:styleId="BodyTextIndent">
    <w:name w:val="Body Text Indent"/>
    <w:basedOn w:val="Normal"/>
    <w:link w:val="BodyTextIndentChar"/>
    <w:rsid w:val="00E333CC"/>
    <w:pPr>
      <w:ind w:left="360"/>
    </w:pPr>
    <w:rPr>
      <w:rFonts w:ascii="Arial" w:eastAsia="Times New Roman" w:hAnsi="Arial"/>
      <w:snapToGrid w:val="0"/>
      <w:szCs w:val="20"/>
    </w:rPr>
  </w:style>
  <w:style w:type="character" w:customStyle="1" w:styleId="BodyTextIndentChar">
    <w:name w:val="Body Text Indent Char"/>
    <w:link w:val="BodyTextIndent"/>
    <w:rsid w:val="00E333CC"/>
    <w:rPr>
      <w:rFonts w:ascii="Arial" w:eastAsia="Times New Roman" w:hAnsi="Arial"/>
      <w:snapToGrid w:val="0"/>
      <w:sz w:val="22"/>
    </w:rPr>
  </w:style>
  <w:style w:type="paragraph" w:styleId="BodyTextIndent2">
    <w:name w:val="Body Text Indent 2"/>
    <w:basedOn w:val="Normal"/>
    <w:link w:val="BodyTextIndent2Char"/>
    <w:rsid w:val="00E333CC"/>
    <w:pPr>
      <w:spacing w:after="120" w:line="480" w:lineRule="auto"/>
      <w:ind w:left="360"/>
    </w:pPr>
    <w:rPr>
      <w:rFonts w:ascii="Times New Roman" w:eastAsia="Times New Roman" w:hAnsi="Times New Roman"/>
      <w:sz w:val="20"/>
      <w:szCs w:val="20"/>
    </w:rPr>
  </w:style>
  <w:style w:type="character" w:customStyle="1" w:styleId="BodyTextIndent2Char">
    <w:name w:val="Body Text Indent 2 Char"/>
    <w:link w:val="BodyTextIndent2"/>
    <w:rsid w:val="00E333CC"/>
    <w:rPr>
      <w:rFonts w:ascii="Times New Roman" w:eastAsia="Times New Roman" w:hAnsi="Times New Roman"/>
    </w:rPr>
  </w:style>
  <w:style w:type="character" w:styleId="UnresolvedMention">
    <w:name w:val="Unresolved Mention"/>
    <w:uiPriority w:val="99"/>
    <w:semiHidden/>
    <w:unhideWhenUsed/>
    <w:rsid w:val="0068046B"/>
    <w:rPr>
      <w:color w:val="808080"/>
      <w:shd w:val="clear" w:color="auto" w:fill="E6E6E6"/>
    </w:rPr>
  </w:style>
  <w:style w:type="paragraph" w:styleId="BalloonText">
    <w:name w:val="Balloon Text"/>
    <w:basedOn w:val="Normal"/>
    <w:link w:val="BalloonTextChar"/>
    <w:uiPriority w:val="99"/>
    <w:semiHidden/>
    <w:unhideWhenUsed/>
    <w:rsid w:val="00941736"/>
    <w:rPr>
      <w:rFonts w:ascii="Segoe UI" w:hAnsi="Segoe UI" w:cs="Segoe UI"/>
      <w:sz w:val="18"/>
      <w:szCs w:val="18"/>
    </w:rPr>
  </w:style>
  <w:style w:type="character" w:customStyle="1" w:styleId="BalloonTextChar">
    <w:name w:val="Balloon Text Char"/>
    <w:link w:val="BalloonText"/>
    <w:uiPriority w:val="99"/>
    <w:semiHidden/>
    <w:rsid w:val="00941736"/>
    <w:rPr>
      <w:rFonts w:ascii="Segoe UI" w:hAnsi="Segoe UI" w:cs="Segoe UI"/>
      <w:sz w:val="18"/>
      <w:szCs w:val="18"/>
    </w:rPr>
  </w:style>
  <w:style w:type="character" w:styleId="FollowedHyperlink">
    <w:name w:val="FollowedHyperlink"/>
    <w:uiPriority w:val="99"/>
    <w:semiHidden/>
    <w:unhideWhenUsed/>
    <w:rsid w:val="002B16BE"/>
    <w:rPr>
      <w:color w:val="954F72"/>
      <w:u w:val="single"/>
    </w:rPr>
  </w:style>
  <w:style w:type="paragraph" w:styleId="Header">
    <w:name w:val="header"/>
    <w:basedOn w:val="Normal"/>
    <w:link w:val="HeaderChar"/>
    <w:uiPriority w:val="99"/>
    <w:unhideWhenUsed/>
    <w:rsid w:val="00FB19E7"/>
    <w:pPr>
      <w:tabs>
        <w:tab w:val="center" w:pos="4680"/>
        <w:tab w:val="right" w:pos="9360"/>
      </w:tabs>
    </w:pPr>
  </w:style>
  <w:style w:type="character" w:customStyle="1" w:styleId="HeaderChar">
    <w:name w:val="Header Char"/>
    <w:link w:val="Header"/>
    <w:uiPriority w:val="99"/>
    <w:rsid w:val="00FB19E7"/>
    <w:rPr>
      <w:sz w:val="22"/>
      <w:szCs w:val="22"/>
    </w:rPr>
  </w:style>
  <w:style w:type="paragraph" w:styleId="Footer">
    <w:name w:val="footer"/>
    <w:basedOn w:val="Normal"/>
    <w:link w:val="FooterChar"/>
    <w:uiPriority w:val="99"/>
    <w:unhideWhenUsed/>
    <w:rsid w:val="00FB19E7"/>
    <w:pPr>
      <w:tabs>
        <w:tab w:val="center" w:pos="4680"/>
        <w:tab w:val="right" w:pos="9360"/>
      </w:tabs>
    </w:pPr>
  </w:style>
  <w:style w:type="character" w:customStyle="1" w:styleId="FooterChar">
    <w:name w:val="Footer Char"/>
    <w:link w:val="Footer"/>
    <w:uiPriority w:val="99"/>
    <w:rsid w:val="00FB19E7"/>
    <w:rPr>
      <w:sz w:val="22"/>
      <w:szCs w:val="22"/>
    </w:rPr>
  </w:style>
  <w:style w:type="paragraph" w:styleId="ListParagraph">
    <w:name w:val="List Paragraph"/>
    <w:basedOn w:val="Normal"/>
    <w:uiPriority w:val="34"/>
    <w:qFormat/>
    <w:rsid w:val="005574BE"/>
    <w:pPr>
      <w:spacing w:line="276" w:lineRule="auto"/>
      <w:ind w:left="720"/>
      <w:contextualSpacing/>
    </w:pPr>
    <w:rPr>
      <w:rFonts w:ascii="Arial" w:hAnsi="Arial" w:cs="Arial"/>
    </w:rPr>
  </w:style>
  <w:style w:type="paragraph" w:styleId="FootnoteText">
    <w:name w:val="footnote text"/>
    <w:basedOn w:val="Normal"/>
    <w:link w:val="FootnoteTextChar"/>
    <w:uiPriority w:val="99"/>
    <w:semiHidden/>
    <w:unhideWhenUsed/>
    <w:rsid w:val="007E001B"/>
    <w:rPr>
      <w:rFonts w:ascii="Arial" w:hAnsi="Arial" w:cs="Arial"/>
      <w:sz w:val="20"/>
      <w:szCs w:val="20"/>
    </w:rPr>
  </w:style>
  <w:style w:type="character" w:customStyle="1" w:styleId="FootnoteTextChar">
    <w:name w:val="Footnote Text Char"/>
    <w:link w:val="FootnoteText"/>
    <w:uiPriority w:val="99"/>
    <w:semiHidden/>
    <w:rsid w:val="007E001B"/>
    <w:rPr>
      <w:rFonts w:ascii="Arial" w:hAnsi="Arial" w:cs="Arial"/>
    </w:rPr>
  </w:style>
  <w:style w:type="character" w:styleId="FootnoteReference">
    <w:name w:val="footnote reference"/>
    <w:uiPriority w:val="99"/>
    <w:semiHidden/>
    <w:unhideWhenUsed/>
    <w:rsid w:val="007E001B"/>
    <w:rPr>
      <w:vertAlign w:val="superscript"/>
    </w:rPr>
  </w:style>
  <w:style w:type="paragraph" w:styleId="Revision">
    <w:name w:val="Revision"/>
    <w:hidden/>
    <w:uiPriority w:val="99"/>
    <w:semiHidden/>
    <w:rsid w:val="004C469C"/>
    <w:rPr>
      <w:sz w:val="22"/>
      <w:szCs w:val="22"/>
    </w:rPr>
  </w:style>
  <w:style w:type="paragraph" w:styleId="CommentText">
    <w:name w:val="annotation text"/>
    <w:basedOn w:val="Normal"/>
    <w:link w:val="CommentTextChar"/>
    <w:uiPriority w:val="99"/>
    <w:unhideWhenUsed/>
    <w:rsid w:val="008D66E9"/>
    <w:rPr>
      <w:sz w:val="20"/>
      <w:szCs w:val="20"/>
    </w:rPr>
  </w:style>
  <w:style w:type="character" w:customStyle="1" w:styleId="CommentTextChar">
    <w:name w:val="Comment Text Char"/>
    <w:basedOn w:val="DefaultParagraphFont"/>
    <w:link w:val="CommentText"/>
    <w:uiPriority w:val="99"/>
    <w:rsid w:val="008D66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730863">
      <w:bodyDiv w:val="1"/>
      <w:marLeft w:val="0"/>
      <w:marRight w:val="0"/>
      <w:marTop w:val="0"/>
      <w:marBottom w:val="0"/>
      <w:divBdr>
        <w:top w:val="none" w:sz="0" w:space="0" w:color="auto"/>
        <w:left w:val="none" w:sz="0" w:space="0" w:color="auto"/>
        <w:bottom w:val="none" w:sz="0" w:space="0" w:color="auto"/>
        <w:right w:val="none" w:sz="0" w:space="0" w:color="auto"/>
      </w:divBdr>
    </w:div>
    <w:div w:id="300120123">
      <w:bodyDiv w:val="1"/>
      <w:marLeft w:val="0"/>
      <w:marRight w:val="0"/>
      <w:marTop w:val="0"/>
      <w:marBottom w:val="0"/>
      <w:divBdr>
        <w:top w:val="none" w:sz="0" w:space="0" w:color="auto"/>
        <w:left w:val="none" w:sz="0" w:space="0" w:color="auto"/>
        <w:bottom w:val="none" w:sz="0" w:space="0" w:color="auto"/>
        <w:right w:val="none" w:sz="0" w:space="0" w:color="auto"/>
      </w:divBdr>
    </w:div>
    <w:div w:id="674188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453</Words>
  <Characters>2586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TAA-16645, Training Approval Checklist</vt:lpstr>
    </vt:vector>
  </TitlesOfParts>
  <Company>DWD - State of Wisconsin</Company>
  <LinksUpToDate>false</LinksUpToDate>
  <CharactersWithSpaces>3033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TAA-16645, Training Approval Checklist</dc:title>
  <dc:subject>This form is administered by TAA staff and completed by the claimant at intervals assigned by the TAA case manager.</dc:subject>
  <dc:creator>Simonson, Sarah J</dc:creator>
  <cp:keywords>Division of Employment and Training, Wisconsin Department of Workforce Development</cp:keywords>
  <cp:lastModifiedBy>Barman, Mitchell A - DWD</cp:lastModifiedBy>
  <cp:revision>4</cp:revision>
  <cp:lastPrinted>2015-09-02T19:29:00Z</cp:lastPrinted>
  <dcterms:created xsi:type="dcterms:W3CDTF">2025-05-19T21:39:00Z</dcterms:created>
  <dcterms:modified xsi:type="dcterms:W3CDTF">2025-05-29T21:06:00Z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sa_snippet">
    <vt:lpwstr>This form is administered by TAA staff and completed by the claimant at intervals assigned by the TAA case manager.</vt:lpwstr>
  </property>
</Properties>
</file>